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5F1A8" w14:textId="05F5A777" w:rsidR="00AC4713" w:rsidRDefault="00AC4713" w:rsidP="00AC471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bookmarkStart w:id="0" w:name="_GoBack"/>
      <w:bookmarkEnd w:id="0"/>
      <w:r>
        <w:rPr>
          <w:rFonts w:ascii="Arial" w:eastAsia="Times New Roman" w:hAnsi="Arial" w:cs="Arial"/>
          <w:noProof/>
          <w:sz w:val="18"/>
          <w:szCs w:val="18"/>
          <w:lang w:val="en-US"/>
        </w:rPr>
        <w:drawing>
          <wp:inline distT="0" distB="0" distL="0" distR="0" wp14:anchorId="7BA32AB8" wp14:editId="18C522A9">
            <wp:extent cx="5743575" cy="146744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976" cy="14764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F3A3A1" w14:textId="560DD2A1" w:rsidR="00AC4713" w:rsidRDefault="00AC4713" w:rsidP="00AC471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4E85F4DF" w14:textId="382853D9" w:rsidR="00AC4713" w:rsidRDefault="00AC4713" w:rsidP="00AC471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2F37197C" w14:textId="6ED6AFA3" w:rsidR="00E14824" w:rsidRPr="006E3242" w:rsidRDefault="00E14824" w:rsidP="00E14824">
      <w:pPr>
        <w:spacing w:after="0" w:line="240" w:lineRule="auto"/>
        <w:jc w:val="both"/>
        <w:rPr>
          <w:sz w:val="18"/>
          <w:szCs w:val="18"/>
        </w:rPr>
      </w:pPr>
      <w:r w:rsidRPr="00E14824">
        <w:rPr>
          <w:rFonts w:ascii="Arial" w:eastAsia="Times New Roman" w:hAnsi="Arial" w:cs="Arial"/>
          <w:sz w:val="18"/>
          <w:szCs w:val="18"/>
        </w:rPr>
        <w:t xml:space="preserve">Notice </w:t>
      </w:r>
      <w:r w:rsidRPr="006E3242">
        <w:rPr>
          <w:rFonts w:ascii="Arial" w:eastAsia="Times New Roman" w:hAnsi="Arial" w:cs="Arial"/>
          <w:sz w:val="18"/>
          <w:szCs w:val="18"/>
        </w:rPr>
        <w:t>is hereby given that the Dr Beyers Naud</w:t>
      </w:r>
      <w:r w:rsidR="001A6664" w:rsidRPr="006E3242">
        <w:rPr>
          <w:rFonts w:ascii="Arial" w:eastAsia="Times New Roman" w:hAnsi="Arial" w:cs="Arial"/>
          <w:sz w:val="18"/>
          <w:szCs w:val="18"/>
        </w:rPr>
        <w:t>é</w:t>
      </w:r>
      <w:r w:rsidRPr="006E3242">
        <w:rPr>
          <w:rFonts w:ascii="Arial" w:eastAsia="Times New Roman" w:hAnsi="Arial" w:cs="Arial"/>
          <w:sz w:val="18"/>
          <w:szCs w:val="18"/>
        </w:rPr>
        <w:t xml:space="preserve"> Municipal Council has</w:t>
      </w:r>
      <w:r w:rsidR="00AC4713" w:rsidRPr="006E3242">
        <w:rPr>
          <w:rFonts w:ascii="Arial" w:eastAsia="Times New Roman" w:hAnsi="Arial" w:cs="Arial"/>
          <w:sz w:val="18"/>
          <w:szCs w:val="18"/>
        </w:rPr>
        <w:t>,</w:t>
      </w:r>
      <w:r w:rsidRPr="006E3242">
        <w:rPr>
          <w:rFonts w:ascii="Arial" w:eastAsia="Times New Roman" w:hAnsi="Arial" w:cs="Arial"/>
          <w:sz w:val="18"/>
          <w:szCs w:val="18"/>
        </w:rPr>
        <w:t xml:space="preserve"> in terms of section 24 of the Municipal Finance Management Act, No 56 of 2003, approved its </w:t>
      </w:r>
      <w:r w:rsidR="00B266B5" w:rsidRPr="006E3242">
        <w:rPr>
          <w:rFonts w:ascii="Arial" w:eastAsia="Times New Roman" w:hAnsi="Arial" w:cs="Arial"/>
          <w:sz w:val="18"/>
          <w:szCs w:val="18"/>
        </w:rPr>
        <w:t>a</w:t>
      </w:r>
      <w:r w:rsidRPr="006E3242">
        <w:rPr>
          <w:rFonts w:ascii="Arial" w:eastAsia="Times New Roman" w:hAnsi="Arial" w:cs="Arial"/>
          <w:sz w:val="18"/>
          <w:szCs w:val="18"/>
        </w:rPr>
        <w:t>nnual Operational and Capital Budget</w:t>
      </w:r>
      <w:r w:rsidR="00B266B5" w:rsidRPr="006E3242">
        <w:rPr>
          <w:rFonts w:ascii="Arial" w:eastAsia="Times New Roman" w:hAnsi="Arial" w:cs="Arial"/>
          <w:sz w:val="18"/>
          <w:szCs w:val="18"/>
        </w:rPr>
        <w:t>, as well as reviewed and amended</w:t>
      </w:r>
      <w:r w:rsidRPr="006E3242">
        <w:rPr>
          <w:rFonts w:ascii="Arial" w:eastAsia="Times New Roman" w:hAnsi="Arial" w:cs="Arial"/>
          <w:sz w:val="18"/>
          <w:szCs w:val="18"/>
        </w:rPr>
        <w:t xml:space="preserve"> Integrated Development Plan (IDP) </w:t>
      </w:r>
      <w:r w:rsidRPr="006E3242">
        <w:rPr>
          <w:rFonts w:ascii="Arial" w:eastAsia="Times New Roman" w:hAnsi="Arial" w:cs="Arial"/>
          <w:b/>
          <w:sz w:val="18"/>
          <w:szCs w:val="18"/>
        </w:rPr>
        <w:t>on the 29th of May 2018</w:t>
      </w:r>
      <w:r w:rsidRPr="006E3242">
        <w:rPr>
          <w:rFonts w:ascii="Arial" w:eastAsia="Times New Roman" w:hAnsi="Arial" w:cs="Arial"/>
          <w:sz w:val="18"/>
          <w:szCs w:val="18"/>
        </w:rPr>
        <w:t xml:space="preserve">. As required in terms of section 17 of the Municipal Finance Management Act, the </w:t>
      </w:r>
      <w:r w:rsidR="001A6664" w:rsidRPr="006E3242">
        <w:rPr>
          <w:rFonts w:ascii="Arial" w:eastAsia="Times New Roman" w:hAnsi="Arial" w:cs="Arial"/>
          <w:sz w:val="18"/>
          <w:szCs w:val="18"/>
        </w:rPr>
        <w:t xml:space="preserve">Draft 2018/19 </w:t>
      </w:r>
      <w:r w:rsidRPr="006E3242">
        <w:rPr>
          <w:rFonts w:ascii="Arial" w:eastAsia="Times New Roman" w:hAnsi="Arial" w:cs="Arial"/>
          <w:sz w:val="18"/>
          <w:szCs w:val="18"/>
        </w:rPr>
        <w:t xml:space="preserve">Budget, Integrated Development Plan and Supporting Documents were tabled and advertised for representations / submissions by the local community, Provincial and National Treasury </w:t>
      </w:r>
      <w:r w:rsidR="001A0AFA" w:rsidRPr="006E3242">
        <w:rPr>
          <w:rFonts w:ascii="Arial" w:eastAsia="Times New Roman" w:hAnsi="Arial" w:cs="Arial"/>
          <w:b/>
          <w:sz w:val="18"/>
          <w:szCs w:val="18"/>
        </w:rPr>
        <w:t>on the 2</w:t>
      </w:r>
      <w:r w:rsidR="001A6664" w:rsidRPr="006E3242">
        <w:rPr>
          <w:rFonts w:ascii="Arial" w:eastAsia="Times New Roman" w:hAnsi="Arial" w:cs="Arial"/>
          <w:b/>
          <w:sz w:val="18"/>
          <w:szCs w:val="18"/>
        </w:rPr>
        <w:t>7</w:t>
      </w:r>
      <w:r w:rsidR="001A0AFA" w:rsidRPr="006E3242">
        <w:rPr>
          <w:rFonts w:ascii="Arial" w:eastAsia="Times New Roman" w:hAnsi="Arial" w:cs="Arial"/>
          <w:b/>
          <w:sz w:val="18"/>
          <w:szCs w:val="18"/>
        </w:rPr>
        <w:t>th of March</w:t>
      </w:r>
      <w:r w:rsidRPr="006E3242">
        <w:rPr>
          <w:rFonts w:ascii="Arial" w:eastAsia="Times New Roman" w:hAnsi="Arial" w:cs="Arial"/>
          <w:b/>
          <w:sz w:val="18"/>
          <w:szCs w:val="18"/>
        </w:rPr>
        <w:t xml:space="preserve"> 2018.</w:t>
      </w:r>
      <w:r w:rsidRPr="006E3242">
        <w:rPr>
          <w:sz w:val="18"/>
          <w:szCs w:val="18"/>
        </w:rPr>
        <w:t xml:space="preserve"> </w:t>
      </w:r>
      <w:r w:rsidR="001A6664" w:rsidRPr="006E3242">
        <w:rPr>
          <w:sz w:val="18"/>
          <w:szCs w:val="18"/>
        </w:rPr>
        <w:t xml:space="preserve"> </w:t>
      </w:r>
    </w:p>
    <w:p w14:paraId="001F227B" w14:textId="3018338B" w:rsidR="001A6664" w:rsidRPr="00E14824" w:rsidRDefault="001A6664" w:rsidP="00E1482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6FD97BF1" w14:textId="2D24B4DA" w:rsidR="00E14824" w:rsidRPr="00E14824" w:rsidRDefault="00E14824" w:rsidP="00E1482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E14824">
        <w:rPr>
          <w:rFonts w:ascii="Arial" w:eastAsia="Times New Roman" w:hAnsi="Arial" w:cs="Arial"/>
          <w:sz w:val="18"/>
          <w:szCs w:val="18"/>
        </w:rPr>
        <w:t>In view of the aforementioned, the following table represents an overview of the proposed 2018/19 Medium-term Revenue and Expenditure Framework:</w:t>
      </w:r>
    </w:p>
    <w:p w14:paraId="0574BAD9" w14:textId="5F153FFB" w:rsidR="00E14824" w:rsidRPr="00E14824" w:rsidRDefault="00E14824" w:rsidP="00E1482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E14824">
        <w:rPr>
          <w:rFonts w:ascii="Arial" w:eastAsia="Times New Roman" w:hAnsi="Arial" w:cs="Arial"/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1636"/>
        <w:gridCol w:w="1779"/>
        <w:gridCol w:w="1707"/>
        <w:gridCol w:w="1707"/>
      </w:tblGrid>
      <w:tr w:rsidR="00E14824" w:rsidRPr="00E14824" w14:paraId="73880E25" w14:textId="77777777" w:rsidTr="00FF5D33">
        <w:trPr>
          <w:trHeight w:val="298"/>
          <w:jc w:val="center"/>
        </w:trPr>
        <w:tc>
          <w:tcPr>
            <w:tcW w:w="2187" w:type="dxa"/>
            <w:shd w:val="clear" w:color="auto" w:fill="auto"/>
          </w:tcPr>
          <w:p w14:paraId="6A30D8B1" w14:textId="77777777" w:rsidR="00E14824" w:rsidRPr="00E14824" w:rsidRDefault="00E14824" w:rsidP="00AC4713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ZA" w:eastAsia="en-ZA"/>
              </w:rPr>
            </w:pPr>
          </w:p>
        </w:tc>
        <w:tc>
          <w:tcPr>
            <w:tcW w:w="1636" w:type="dxa"/>
            <w:shd w:val="clear" w:color="auto" w:fill="auto"/>
          </w:tcPr>
          <w:p w14:paraId="6EF5F18A" w14:textId="77777777" w:rsidR="00E14824" w:rsidRPr="00E14824" w:rsidRDefault="00E14824" w:rsidP="00AC4713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ZA" w:eastAsia="en-ZA"/>
              </w:rPr>
            </w:pPr>
            <w:r w:rsidRPr="00E14824">
              <w:rPr>
                <w:rFonts w:ascii="Arial" w:eastAsia="Times New Roman" w:hAnsi="Arial" w:cs="Arial"/>
                <w:b/>
                <w:sz w:val="18"/>
                <w:szCs w:val="18"/>
                <w:lang w:val="en-ZA" w:eastAsia="en-ZA"/>
              </w:rPr>
              <w:t>Current Year</w:t>
            </w:r>
          </w:p>
        </w:tc>
        <w:tc>
          <w:tcPr>
            <w:tcW w:w="5193" w:type="dxa"/>
            <w:gridSpan w:val="3"/>
            <w:shd w:val="clear" w:color="auto" w:fill="auto"/>
          </w:tcPr>
          <w:p w14:paraId="6C4022E8" w14:textId="4F1017C6" w:rsidR="00E14824" w:rsidRPr="00E14824" w:rsidRDefault="00E14824" w:rsidP="00AC4713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n-ZA" w:eastAsia="en-ZA"/>
              </w:rPr>
            </w:pPr>
            <w:r w:rsidRPr="00E14824">
              <w:rPr>
                <w:rFonts w:ascii="Arial" w:eastAsia="Times New Roman" w:hAnsi="Arial" w:cs="Arial"/>
                <w:b/>
                <w:sz w:val="18"/>
                <w:szCs w:val="18"/>
                <w:lang w:val="en-ZA" w:eastAsia="en-ZA"/>
              </w:rPr>
              <w:t>2018/19 Medium Term Revenue and Expenditure</w:t>
            </w:r>
          </w:p>
        </w:tc>
      </w:tr>
      <w:tr w:rsidR="00E14824" w:rsidRPr="00E14824" w14:paraId="32AD1AD5" w14:textId="77777777" w:rsidTr="00E14824">
        <w:trPr>
          <w:trHeight w:val="448"/>
          <w:jc w:val="center"/>
        </w:trPr>
        <w:tc>
          <w:tcPr>
            <w:tcW w:w="2187" w:type="dxa"/>
            <w:shd w:val="clear" w:color="auto" w:fill="auto"/>
          </w:tcPr>
          <w:p w14:paraId="4593A8FD" w14:textId="77777777" w:rsidR="00E14824" w:rsidRPr="00E14824" w:rsidRDefault="00E14824" w:rsidP="00AC4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ZA" w:eastAsia="en-ZA"/>
              </w:rPr>
            </w:pPr>
          </w:p>
        </w:tc>
        <w:tc>
          <w:tcPr>
            <w:tcW w:w="1636" w:type="dxa"/>
            <w:shd w:val="clear" w:color="auto" w:fill="auto"/>
          </w:tcPr>
          <w:p w14:paraId="4CC6BC04" w14:textId="77777777" w:rsidR="00E14824" w:rsidRPr="00E14824" w:rsidRDefault="00E14824" w:rsidP="00AC47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ZA" w:eastAsia="en-ZA"/>
              </w:rPr>
            </w:pPr>
            <w:r w:rsidRPr="00E14824">
              <w:rPr>
                <w:rFonts w:ascii="Arial" w:eastAsia="Times New Roman" w:hAnsi="Arial" w:cs="Arial"/>
                <w:sz w:val="18"/>
                <w:szCs w:val="18"/>
                <w:lang w:val="en-ZA" w:eastAsia="en-ZA"/>
              </w:rPr>
              <w:t>Adjusted Budget 2017/18</w:t>
            </w:r>
          </w:p>
        </w:tc>
        <w:tc>
          <w:tcPr>
            <w:tcW w:w="1779" w:type="dxa"/>
            <w:shd w:val="clear" w:color="auto" w:fill="auto"/>
          </w:tcPr>
          <w:p w14:paraId="7F27B194" w14:textId="77777777" w:rsidR="00E14824" w:rsidRPr="00E14824" w:rsidRDefault="00E14824" w:rsidP="00AC47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ZA" w:eastAsia="en-ZA"/>
              </w:rPr>
            </w:pPr>
            <w:r w:rsidRPr="00E14824">
              <w:rPr>
                <w:rFonts w:ascii="Arial" w:hAnsi="Arial" w:cs="Arial"/>
                <w:sz w:val="18"/>
                <w:szCs w:val="18"/>
                <w:lang w:val="en-ZA" w:eastAsia="en-ZA"/>
              </w:rPr>
              <w:t>Budget Year 2018/19</w:t>
            </w:r>
          </w:p>
        </w:tc>
        <w:tc>
          <w:tcPr>
            <w:tcW w:w="1707" w:type="dxa"/>
            <w:shd w:val="clear" w:color="auto" w:fill="auto"/>
          </w:tcPr>
          <w:p w14:paraId="30D46996" w14:textId="14062C3E" w:rsidR="00E14824" w:rsidRPr="00E14824" w:rsidRDefault="00E14824" w:rsidP="00AC47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ZA" w:eastAsia="en-ZA"/>
              </w:rPr>
            </w:pPr>
            <w:r w:rsidRPr="00E14824">
              <w:rPr>
                <w:rFonts w:ascii="Arial" w:hAnsi="Arial" w:cs="Arial"/>
                <w:sz w:val="18"/>
                <w:szCs w:val="18"/>
                <w:lang w:val="en-ZA" w:eastAsia="en-ZA"/>
              </w:rPr>
              <w:t>Budget Year +1 2019/20</w:t>
            </w:r>
          </w:p>
        </w:tc>
        <w:tc>
          <w:tcPr>
            <w:tcW w:w="1707" w:type="dxa"/>
            <w:shd w:val="clear" w:color="auto" w:fill="auto"/>
          </w:tcPr>
          <w:p w14:paraId="5FE36BD8" w14:textId="77777777" w:rsidR="00E14824" w:rsidRPr="00E14824" w:rsidRDefault="00E14824" w:rsidP="00AC47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ZA" w:eastAsia="en-ZA"/>
              </w:rPr>
            </w:pPr>
            <w:r w:rsidRPr="00E14824">
              <w:rPr>
                <w:rFonts w:ascii="Arial" w:hAnsi="Arial" w:cs="Arial"/>
                <w:sz w:val="18"/>
                <w:szCs w:val="18"/>
                <w:lang w:val="en-ZA" w:eastAsia="en-ZA"/>
              </w:rPr>
              <w:t>Budget Year +2 2020/21</w:t>
            </w:r>
          </w:p>
        </w:tc>
      </w:tr>
      <w:tr w:rsidR="00E14824" w:rsidRPr="00E14824" w14:paraId="6A84C638" w14:textId="77777777" w:rsidTr="00E14824">
        <w:trPr>
          <w:trHeight w:val="238"/>
          <w:jc w:val="center"/>
        </w:trPr>
        <w:tc>
          <w:tcPr>
            <w:tcW w:w="2187" w:type="dxa"/>
            <w:shd w:val="clear" w:color="auto" w:fill="auto"/>
          </w:tcPr>
          <w:p w14:paraId="35EB1D4B" w14:textId="77777777" w:rsidR="00E14824" w:rsidRPr="00E14824" w:rsidRDefault="00E14824" w:rsidP="00C92352">
            <w:pPr>
              <w:spacing w:after="0" w:line="260" w:lineRule="exact"/>
              <w:rPr>
                <w:rFonts w:ascii="Arial" w:eastAsia="Times New Roman" w:hAnsi="Arial" w:cs="Arial"/>
                <w:b/>
                <w:sz w:val="18"/>
                <w:szCs w:val="18"/>
                <w:lang w:val="en-ZA" w:eastAsia="en-ZA"/>
              </w:rPr>
            </w:pPr>
            <w:r w:rsidRPr="00E14824">
              <w:rPr>
                <w:rFonts w:ascii="Arial" w:eastAsia="Times New Roman" w:hAnsi="Arial" w:cs="Arial"/>
                <w:b/>
                <w:sz w:val="18"/>
                <w:szCs w:val="18"/>
                <w:lang w:val="en-ZA" w:eastAsia="en-ZA"/>
              </w:rPr>
              <w:t xml:space="preserve">Total Revenue </w:t>
            </w:r>
          </w:p>
        </w:tc>
        <w:tc>
          <w:tcPr>
            <w:tcW w:w="1636" w:type="dxa"/>
            <w:shd w:val="clear" w:color="auto" w:fill="auto"/>
          </w:tcPr>
          <w:p w14:paraId="17CF9DC4" w14:textId="77777777" w:rsidR="00E14824" w:rsidRPr="00E14824" w:rsidRDefault="00E14824" w:rsidP="00C92352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n-ZA" w:eastAsia="en-ZA"/>
              </w:rPr>
            </w:pPr>
            <w:r w:rsidRPr="00E14824">
              <w:rPr>
                <w:rFonts w:ascii="Arial" w:eastAsia="Times New Roman" w:hAnsi="Arial" w:cs="Arial"/>
                <w:sz w:val="18"/>
                <w:szCs w:val="18"/>
                <w:lang w:val="en-ZA" w:eastAsia="en-ZA"/>
              </w:rPr>
              <w:t>399 259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421AD" w14:textId="77777777" w:rsidR="00E14824" w:rsidRPr="00E14824" w:rsidRDefault="00E14824" w:rsidP="00C9235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ZA" w:eastAsia="en-ZA"/>
              </w:rPr>
            </w:pPr>
            <w:r w:rsidRPr="00E14824">
              <w:rPr>
                <w:rFonts w:ascii="Arial" w:hAnsi="Arial" w:cs="Arial"/>
                <w:bCs/>
                <w:sz w:val="18"/>
                <w:szCs w:val="18"/>
                <w:lang w:val="en-ZA" w:eastAsia="en-ZA"/>
              </w:rPr>
              <w:t xml:space="preserve">        342 319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CA989" w14:textId="77777777" w:rsidR="00E14824" w:rsidRPr="00E14824" w:rsidRDefault="00E14824" w:rsidP="00C9235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ZA" w:eastAsia="en-ZA"/>
              </w:rPr>
            </w:pPr>
            <w:r w:rsidRPr="00E14824">
              <w:rPr>
                <w:rFonts w:ascii="Arial" w:hAnsi="Arial" w:cs="Arial"/>
                <w:bCs/>
                <w:sz w:val="18"/>
                <w:szCs w:val="18"/>
                <w:lang w:val="en-ZA" w:eastAsia="en-ZA"/>
              </w:rPr>
              <w:t xml:space="preserve">        345 412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0D5BF" w14:textId="77777777" w:rsidR="00E14824" w:rsidRPr="00E14824" w:rsidRDefault="00E14824" w:rsidP="00C9235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ZA" w:eastAsia="en-ZA"/>
              </w:rPr>
            </w:pPr>
            <w:r w:rsidRPr="00E14824">
              <w:rPr>
                <w:rFonts w:ascii="Arial" w:hAnsi="Arial" w:cs="Arial"/>
                <w:bCs/>
                <w:sz w:val="18"/>
                <w:szCs w:val="18"/>
                <w:lang w:val="en-ZA" w:eastAsia="en-ZA"/>
              </w:rPr>
              <w:t xml:space="preserve">        363 292 </w:t>
            </w:r>
          </w:p>
        </w:tc>
      </w:tr>
      <w:tr w:rsidR="00E14824" w:rsidRPr="00E14824" w14:paraId="7C0A0B40" w14:textId="77777777" w:rsidTr="00E14824">
        <w:trPr>
          <w:trHeight w:val="238"/>
          <w:jc w:val="center"/>
        </w:trPr>
        <w:tc>
          <w:tcPr>
            <w:tcW w:w="2187" w:type="dxa"/>
            <w:shd w:val="clear" w:color="auto" w:fill="auto"/>
          </w:tcPr>
          <w:p w14:paraId="02B53747" w14:textId="77777777" w:rsidR="00E14824" w:rsidRPr="00E14824" w:rsidRDefault="00E14824" w:rsidP="00C92352">
            <w:pPr>
              <w:spacing w:after="0" w:line="260" w:lineRule="exact"/>
              <w:rPr>
                <w:rFonts w:ascii="Arial" w:eastAsia="Times New Roman" w:hAnsi="Arial" w:cs="Arial"/>
                <w:b/>
                <w:sz w:val="18"/>
                <w:szCs w:val="18"/>
                <w:lang w:val="en-ZA" w:eastAsia="en-ZA"/>
              </w:rPr>
            </w:pPr>
            <w:r w:rsidRPr="00E14824">
              <w:rPr>
                <w:rFonts w:ascii="Arial" w:eastAsia="Times New Roman" w:hAnsi="Arial" w:cs="Arial"/>
                <w:b/>
                <w:sz w:val="18"/>
                <w:szCs w:val="18"/>
                <w:lang w:val="en-ZA" w:eastAsia="en-ZA"/>
              </w:rPr>
              <w:t xml:space="preserve">Total Expenditure </w:t>
            </w:r>
          </w:p>
        </w:tc>
        <w:tc>
          <w:tcPr>
            <w:tcW w:w="1636" w:type="dxa"/>
            <w:shd w:val="clear" w:color="auto" w:fill="auto"/>
          </w:tcPr>
          <w:p w14:paraId="7D16459A" w14:textId="77777777" w:rsidR="00E14824" w:rsidRPr="00E14824" w:rsidRDefault="00E14824" w:rsidP="00C92352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n-ZA" w:eastAsia="en-ZA"/>
              </w:rPr>
            </w:pPr>
            <w:r w:rsidRPr="00E14824">
              <w:rPr>
                <w:rFonts w:ascii="Arial" w:eastAsia="Times New Roman" w:hAnsi="Arial" w:cs="Arial"/>
                <w:sz w:val="18"/>
                <w:szCs w:val="18"/>
                <w:lang w:val="en-ZA" w:eastAsia="en-ZA"/>
              </w:rPr>
              <w:t>440 304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92898" w14:textId="77777777" w:rsidR="00E14824" w:rsidRPr="00E14824" w:rsidRDefault="00E14824" w:rsidP="00C9235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ZA" w:eastAsia="en-ZA"/>
              </w:rPr>
            </w:pPr>
            <w:r w:rsidRPr="00E14824">
              <w:rPr>
                <w:rFonts w:ascii="Arial" w:hAnsi="Arial" w:cs="Arial"/>
                <w:bCs/>
                <w:sz w:val="18"/>
                <w:szCs w:val="18"/>
                <w:lang w:val="en-ZA" w:eastAsia="en-ZA"/>
              </w:rPr>
              <w:t xml:space="preserve">        366 051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74587" w14:textId="77777777" w:rsidR="00E14824" w:rsidRPr="00E14824" w:rsidRDefault="00E14824" w:rsidP="00C9235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ZA" w:eastAsia="en-ZA"/>
              </w:rPr>
            </w:pPr>
            <w:r w:rsidRPr="00E14824">
              <w:rPr>
                <w:rFonts w:ascii="Arial" w:hAnsi="Arial" w:cs="Arial"/>
                <w:bCs/>
                <w:sz w:val="18"/>
                <w:szCs w:val="18"/>
                <w:lang w:val="en-ZA" w:eastAsia="en-ZA"/>
              </w:rPr>
              <w:t xml:space="preserve">        382 392 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344FB" w14:textId="77777777" w:rsidR="00E14824" w:rsidRPr="00E14824" w:rsidRDefault="00E14824" w:rsidP="00C9235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ZA" w:eastAsia="en-ZA"/>
              </w:rPr>
            </w:pPr>
            <w:r w:rsidRPr="00E14824">
              <w:rPr>
                <w:rFonts w:ascii="Arial" w:hAnsi="Arial" w:cs="Arial"/>
                <w:bCs/>
                <w:sz w:val="18"/>
                <w:szCs w:val="18"/>
                <w:lang w:val="en-ZA" w:eastAsia="en-ZA"/>
              </w:rPr>
              <w:t xml:space="preserve">        404 669</w:t>
            </w:r>
          </w:p>
        </w:tc>
      </w:tr>
      <w:tr w:rsidR="00E14824" w:rsidRPr="00E14824" w14:paraId="60CA68F3" w14:textId="77777777" w:rsidTr="00E14824">
        <w:trPr>
          <w:trHeight w:val="301"/>
          <w:jc w:val="center"/>
        </w:trPr>
        <w:tc>
          <w:tcPr>
            <w:tcW w:w="2187" w:type="dxa"/>
            <w:shd w:val="clear" w:color="auto" w:fill="auto"/>
          </w:tcPr>
          <w:p w14:paraId="285E8DB0" w14:textId="77777777" w:rsidR="00E14824" w:rsidRPr="00E14824" w:rsidRDefault="00E14824" w:rsidP="00C92352">
            <w:pPr>
              <w:spacing w:after="0" w:line="260" w:lineRule="exact"/>
              <w:rPr>
                <w:rFonts w:ascii="Arial" w:eastAsia="Times New Roman" w:hAnsi="Arial" w:cs="Arial"/>
                <w:b/>
                <w:sz w:val="18"/>
                <w:szCs w:val="18"/>
                <w:lang w:val="en-ZA" w:eastAsia="en-ZA"/>
              </w:rPr>
            </w:pPr>
            <w:r w:rsidRPr="00E14824">
              <w:rPr>
                <w:rFonts w:ascii="Arial" w:eastAsia="Times New Roman" w:hAnsi="Arial" w:cs="Arial"/>
                <w:b/>
                <w:sz w:val="18"/>
                <w:szCs w:val="18"/>
                <w:lang w:val="en-ZA" w:eastAsia="en-ZA"/>
              </w:rPr>
              <w:t>Surplus / (Deficit)</w:t>
            </w:r>
          </w:p>
        </w:tc>
        <w:tc>
          <w:tcPr>
            <w:tcW w:w="1636" w:type="dxa"/>
            <w:shd w:val="clear" w:color="auto" w:fill="auto"/>
          </w:tcPr>
          <w:p w14:paraId="4E6E6118" w14:textId="77777777" w:rsidR="00E14824" w:rsidRPr="00E14824" w:rsidRDefault="00E14824" w:rsidP="00C92352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n-ZA" w:eastAsia="en-ZA"/>
              </w:rPr>
            </w:pPr>
            <w:r w:rsidRPr="00E14824">
              <w:rPr>
                <w:rFonts w:ascii="Arial" w:eastAsia="Times New Roman" w:hAnsi="Arial" w:cs="Arial"/>
                <w:sz w:val="18"/>
                <w:szCs w:val="18"/>
                <w:lang w:val="en-ZA" w:eastAsia="en-ZA"/>
              </w:rPr>
              <w:t>(41 044)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FAC7B" w14:textId="69DA7DFD" w:rsidR="00E14824" w:rsidRPr="00E14824" w:rsidRDefault="00E14824" w:rsidP="00C9235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ZA" w:eastAsia="en-ZA"/>
              </w:rPr>
            </w:pPr>
            <w:r w:rsidRPr="00E14824">
              <w:rPr>
                <w:rFonts w:ascii="Arial" w:hAnsi="Arial" w:cs="Arial"/>
                <w:bCs/>
                <w:sz w:val="18"/>
                <w:szCs w:val="18"/>
                <w:lang w:val="en-ZA" w:eastAsia="en-ZA"/>
              </w:rPr>
              <w:t xml:space="preserve">        (23 732)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8F7EC" w14:textId="77777777" w:rsidR="00E14824" w:rsidRPr="00E14824" w:rsidRDefault="00E14824" w:rsidP="00C9235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ZA" w:eastAsia="en-ZA"/>
              </w:rPr>
            </w:pPr>
            <w:r w:rsidRPr="00E14824">
              <w:rPr>
                <w:rFonts w:ascii="Arial" w:hAnsi="Arial" w:cs="Arial"/>
                <w:bCs/>
                <w:sz w:val="18"/>
                <w:szCs w:val="18"/>
                <w:lang w:val="en-ZA" w:eastAsia="en-ZA"/>
              </w:rPr>
              <w:t xml:space="preserve">        (36 980)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C01B6" w14:textId="77777777" w:rsidR="00E14824" w:rsidRPr="00E14824" w:rsidRDefault="00E14824" w:rsidP="00C9235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ZA" w:eastAsia="en-ZA"/>
              </w:rPr>
            </w:pPr>
            <w:r w:rsidRPr="00E14824">
              <w:rPr>
                <w:rFonts w:ascii="Arial" w:hAnsi="Arial" w:cs="Arial"/>
                <w:bCs/>
                <w:sz w:val="18"/>
                <w:szCs w:val="18"/>
                <w:lang w:val="en-ZA" w:eastAsia="en-ZA"/>
              </w:rPr>
              <w:t xml:space="preserve">        (41 377)</w:t>
            </w:r>
          </w:p>
        </w:tc>
      </w:tr>
      <w:tr w:rsidR="00E14824" w:rsidRPr="00E14824" w14:paraId="6DC4E2EE" w14:textId="77777777" w:rsidTr="00E14824">
        <w:trPr>
          <w:trHeight w:val="252"/>
          <w:jc w:val="center"/>
        </w:trPr>
        <w:tc>
          <w:tcPr>
            <w:tcW w:w="2187" w:type="dxa"/>
            <w:shd w:val="clear" w:color="auto" w:fill="auto"/>
          </w:tcPr>
          <w:p w14:paraId="50291735" w14:textId="77777777" w:rsidR="00E14824" w:rsidRPr="00E14824" w:rsidRDefault="00E14824" w:rsidP="00C92352">
            <w:pPr>
              <w:spacing w:after="0" w:line="260" w:lineRule="exact"/>
              <w:rPr>
                <w:rFonts w:ascii="Arial" w:eastAsia="Times New Roman" w:hAnsi="Arial" w:cs="Arial"/>
                <w:b/>
                <w:sz w:val="18"/>
                <w:szCs w:val="18"/>
                <w:lang w:val="en-ZA" w:eastAsia="en-ZA"/>
              </w:rPr>
            </w:pPr>
            <w:r w:rsidRPr="00E14824">
              <w:rPr>
                <w:rFonts w:ascii="Arial" w:eastAsia="Times New Roman" w:hAnsi="Arial" w:cs="Arial"/>
                <w:b/>
                <w:sz w:val="18"/>
                <w:szCs w:val="18"/>
                <w:lang w:val="en-ZA" w:eastAsia="en-ZA"/>
              </w:rPr>
              <w:t>Capital Expenditure</w:t>
            </w:r>
          </w:p>
        </w:tc>
        <w:tc>
          <w:tcPr>
            <w:tcW w:w="1636" w:type="dxa"/>
            <w:shd w:val="clear" w:color="auto" w:fill="auto"/>
          </w:tcPr>
          <w:p w14:paraId="536C196E" w14:textId="77777777" w:rsidR="00E14824" w:rsidRPr="00E14824" w:rsidRDefault="00E14824" w:rsidP="00C92352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n-ZA" w:eastAsia="en-ZA"/>
              </w:rPr>
            </w:pPr>
            <w:r w:rsidRPr="00E14824">
              <w:rPr>
                <w:rFonts w:ascii="Arial" w:eastAsia="Times New Roman" w:hAnsi="Arial" w:cs="Arial"/>
                <w:sz w:val="18"/>
                <w:szCs w:val="18"/>
                <w:lang w:val="en-ZA" w:eastAsia="en-ZA"/>
              </w:rPr>
              <w:t>72 179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186E3E" w14:textId="77777777" w:rsidR="00E14824" w:rsidRPr="00E14824" w:rsidRDefault="00E14824" w:rsidP="00C9235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ZA" w:eastAsia="en-ZA"/>
              </w:rPr>
            </w:pPr>
            <w:r w:rsidRPr="00E14824">
              <w:rPr>
                <w:rFonts w:ascii="Arial" w:hAnsi="Arial" w:cs="Arial"/>
                <w:bCs/>
                <w:sz w:val="18"/>
                <w:szCs w:val="18"/>
                <w:lang w:val="en-ZA" w:eastAsia="en-ZA"/>
              </w:rPr>
              <w:t xml:space="preserve">         44 884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A4632" w14:textId="77777777" w:rsidR="00E14824" w:rsidRPr="00E14824" w:rsidRDefault="00E14824" w:rsidP="00C9235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ZA" w:eastAsia="en-ZA"/>
              </w:rPr>
            </w:pPr>
            <w:r w:rsidRPr="00E14824">
              <w:rPr>
                <w:rFonts w:ascii="Arial" w:hAnsi="Arial" w:cs="Arial"/>
                <w:bCs/>
                <w:sz w:val="18"/>
                <w:szCs w:val="18"/>
                <w:lang w:val="en-ZA" w:eastAsia="en-ZA"/>
              </w:rPr>
              <w:t xml:space="preserve">         31 647 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3C7CD" w14:textId="77777777" w:rsidR="00E14824" w:rsidRPr="00E14824" w:rsidRDefault="00E14824" w:rsidP="00C9235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ZA" w:eastAsia="en-ZA"/>
              </w:rPr>
            </w:pPr>
            <w:r w:rsidRPr="00E14824">
              <w:rPr>
                <w:rFonts w:ascii="Arial" w:hAnsi="Arial" w:cs="Arial"/>
                <w:bCs/>
                <w:sz w:val="18"/>
                <w:szCs w:val="18"/>
                <w:lang w:val="en-ZA" w:eastAsia="en-ZA"/>
              </w:rPr>
              <w:t xml:space="preserve">         30 463 </w:t>
            </w:r>
          </w:p>
        </w:tc>
      </w:tr>
    </w:tbl>
    <w:p w14:paraId="3542AE09" w14:textId="77777777" w:rsidR="00E14824" w:rsidRPr="00E14824" w:rsidRDefault="00E14824" w:rsidP="00E1482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A1B668F" w14:textId="77777777" w:rsidR="00E14824" w:rsidRPr="00E14824" w:rsidRDefault="00E14824" w:rsidP="00AC471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E14824">
        <w:rPr>
          <w:rFonts w:ascii="Arial" w:eastAsia="Times New Roman" w:hAnsi="Arial" w:cs="Arial"/>
          <w:sz w:val="18"/>
          <w:szCs w:val="18"/>
        </w:rPr>
        <w:t>Total operating revenue has decreased by 14.25% or R 56.9 million for the 2018/19 financial year, compared to the 2017/18 Adjustments Budget.</w:t>
      </w:r>
    </w:p>
    <w:p w14:paraId="683A6D3D" w14:textId="77777777" w:rsidR="00E14824" w:rsidRPr="00E14824" w:rsidRDefault="00E14824" w:rsidP="00AC471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247DAF94" w14:textId="131498D5" w:rsidR="00E14824" w:rsidRPr="00E14824" w:rsidRDefault="00E14824" w:rsidP="00AC471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E14824">
        <w:rPr>
          <w:rFonts w:ascii="Arial" w:eastAsia="Times New Roman" w:hAnsi="Arial" w:cs="Arial"/>
          <w:sz w:val="18"/>
          <w:szCs w:val="18"/>
        </w:rPr>
        <w:t>The decrease is a result of the accounting for the Cost of Free Basic Services which was accounted for as an expense in the previous financial year, whilst it should have been a reduction to revenue.</w:t>
      </w:r>
    </w:p>
    <w:p w14:paraId="04C58242" w14:textId="77777777" w:rsidR="00E14824" w:rsidRPr="00E14824" w:rsidRDefault="00E14824" w:rsidP="00AC471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2822C803" w14:textId="77777777" w:rsidR="00E14824" w:rsidRPr="00E14824" w:rsidRDefault="00E14824" w:rsidP="00AC4713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ZA" w:eastAsia="en-ZA"/>
        </w:rPr>
      </w:pPr>
      <w:r w:rsidRPr="00E14824">
        <w:rPr>
          <w:rFonts w:ascii="Arial" w:hAnsi="Arial" w:cs="Arial"/>
          <w:sz w:val="18"/>
          <w:szCs w:val="18"/>
          <w:lang w:val="en-ZA" w:eastAsia="en-ZA"/>
        </w:rPr>
        <w:t>For the two outer years, operational revenue increases by 0.90% and 5.18% respectively.</w:t>
      </w:r>
    </w:p>
    <w:p w14:paraId="595FF11B" w14:textId="77777777" w:rsidR="00E14824" w:rsidRPr="00E14824" w:rsidRDefault="00E14824" w:rsidP="00AC471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0B186BA" w14:textId="77777777" w:rsidR="00E14824" w:rsidRPr="00E14824" w:rsidRDefault="00E14824" w:rsidP="00AC47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en-ZA" w:eastAsia="en-ZA"/>
        </w:rPr>
      </w:pPr>
      <w:r w:rsidRPr="00E14824">
        <w:rPr>
          <w:rFonts w:ascii="Arial" w:hAnsi="Arial" w:cs="Arial"/>
          <w:sz w:val="18"/>
          <w:szCs w:val="18"/>
          <w:lang w:val="en-ZA" w:eastAsia="en-ZA"/>
        </w:rPr>
        <w:t>Total operating expenditure for the 2018/19 financial year amounts to R 366.051 million, resulting in a</w:t>
      </w:r>
      <w:r w:rsidR="003D7402">
        <w:rPr>
          <w:rFonts w:ascii="Arial" w:hAnsi="Arial" w:cs="Arial"/>
          <w:sz w:val="18"/>
          <w:szCs w:val="18"/>
          <w:lang w:val="en-ZA" w:eastAsia="en-ZA"/>
        </w:rPr>
        <w:t xml:space="preserve"> </w:t>
      </w:r>
      <w:r w:rsidRPr="00E14824">
        <w:rPr>
          <w:rFonts w:ascii="Arial" w:hAnsi="Arial" w:cs="Arial"/>
          <w:sz w:val="18"/>
          <w:szCs w:val="18"/>
          <w:lang w:val="en-ZA" w:eastAsia="en-ZA"/>
        </w:rPr>
        <w:t>budgeted deficit of R 23.732 million. Compared to the 2017/18 Adjustments Budget, operational</w:t>
      </w:r>
      <w:r w:rsidR="003D7402">
        <w:rPr>
          <w:rFonts w:ascii="Arial" w:hAnsi="Arial" w:cs="Arial"/>
          <w:sz w:val="18"/>
          <w:szCs w:val="18"/>
          <w:lang w:val="en-ZA" w:eastAsia="en-ZA"/>
        </w:rPr>
        <w:t xml:space="preserve"> </w:t>
      </w:r>
      <w:r w:rsidRPr="00E14824">
        <w:rPr>
          <w:rFonts w:ascii="Arial" w:hAnsi="Arial" w:cs="Arial"/>
          <w:sz w:val="18"/>
          <w:szCs w:val="18"/>
          <w:lang w:val="en-ZA" w:eastAsia="en-ZA"/>
        </w:rPr>
        <w:t>expenditure decreased by 16.86% in the 2018/19 Budget. As mentioned this is due to the accounting</w:t>
      </w:r>
      <w:r w:rsidR="003D7402">
        <w:rPr>
          <w:rFonts w:ascii="Arial" w:hAnsi="Arial" w:cs="Arial"/>
          <w:sz w:val="18"/>
          <w:szCs w:val="18"/>
          <w:lang w:val="en-ZA" w:eastAsia="en-ZA"/>
        </w:rPr>
        <w:t xml:space="preserve"> </w:t>
      </w:r>
      <w:r w:rsidRPr="00E14824">
        <w:rPr>
          <w:rFonts w:ascii="Arial" w:hAnsi="Arial" w:cs="Arial"/>
          <w:sz w:val="18"/>
          <w:szCs w:val="18"/>
          <w:lang w:val="en-ZA" w:eastAsia="en-ZA"/>
        </w:rPr>
        <w:t>treatment for Cost of Free Basic Services which was incorrect in the previous financial year.</w:t>
      </w:r>
    </w:p>
    <w:p w14:paraId="458A7951" w14:textId="77777777" w:rsidR="00E14824" w:rsidRPr="00E14824" w:rsidRDefault="00E14824" w:rsidP="00AC4713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ZA" w:eastAsia="en-ZA"/>
        </w:rPr>
      </w:pPr>
    </w:p>
    <w:p w14:paraId="35F42460" w14:textId="047810E7" w:rsidR="001A6664" w:rsidRPr="006E3242" w:rsidRDefault="00E14824" w:rsidP="00AC47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en-ZA" w:eastAsia="en-ZA"/>
        </w:rPr>
      </w:pPr>
      <w:r w:rsidRPr="006E3242">
        <w:rPr>
          <w:rFonts w:ascii="Arial" w:hAnsi="Arial" w:cs="Arial"/>
          <w:sz w:val="18"/>
          <w:szCs w:val="18"/>
          <w:lang w:val="en-ZA" w:eastAsia="en-ZA"/>
        </w:rPr>
        <w:t>For the two outer years, operational expenditure increases by 4.46% and 5.83% respectively. The</w:t>
      </w:r>
      <w:r w:rsidR="001A6664" w:rsidRPr="006E3242">
        <w:rPr>
          <w:rFonts w:ascii="Arial" w:hAnsi="Arial" w:cs="Arial"/>
          <w:sz w:val="18"/>
          <w:szCs w:val="18"/>
          <w:lang w:val="en-ZA" w:eastAsia="en-ZA"/>
        </w:rPr>
        <w:t xml:space="preserve"> </w:t>
      </w:r>
      <w:r w:rsidRPr="006E3242">
        <w:rPr>
          <w:rFonts w:ascii="Arial" w:hAnsi="Arial" w:cs="Arial"/>
          <w:sz w:val="18"/>
          <w:szCs w:val="18"/>
          <w:lang w:val="en-ZA" w:eastAsia="en-ZA"/>
        </w:rPr>
        <w:t>2019/20 and 2020/21 budgets reflect operating deficits of R 36.980 million and R 41.377 million</w:t>
      </w:r>
      <w:r w:rsidR="001A6664" w:rsidRPr="006E3242">
        <w:rPr>
          <w:rFonts w:ascii="Arial" w:hAnsi="Arial" w:cs="Arial"/>
          <w:sz w:val="18"/>
          <w:szCs w:val="18"/>
          <w:lang w:val="en-ZA" w:eastAsia="en-ZA"/>
        </w:rPr>
        <w:t xml:space="preserve"> r</w:t>
      </w:r>
      <w:r w:rsidRPr="006E3242">
        <w:rPr>
          <w:rFonts w:ascii="Arial" w:hAnsi="Arial" w:cs="Arial"/>
          <w:sz w:val="18"/>
          <w:szCs w:val="18"/>
          <w:lang w:val="en-ZA" w:eastAsia="en-ZA"/>
        </w:rPr>
        <w:t>espectively</w:t>
      </w:r>
      <w:r w:rsidR="001A6664" w:rsidRPr="006E3242">
        <w:rPr>
          <w:rFonts w:ascii="Arial" w:hAnsi="Arial" w:cs="Arial"/>
          <w:sz w:val="18"/>
          <w:szCs w:val="18"/>
          <w:lang w:val="en-ZA" w:eastAsia="en-ZA"/>
        </w:rPr>
        <w:t>.</w:t>
      </w:r>
    </w:p>
    <w:p w14:paraId="74E8FD48" w14:textId="77777777" w:rsidR="001A6664" w:rsidRPr="006E3242" w:rsidRDefault="001A6664" w:rsidP="00AC47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en-ZA" w:eastAsia="en-ZA"/>
        </w:rPr>
      </w:pPr>
    </w:p>
    <w:p w14:paraId="0E75291E" w14:textId="6C5700D6" w:rsidR="00E14824" w:rsidRPr="006E3242" w:rsidRDefault="001A6664" w:rsidP="00AC47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en-ZA" w:eastAsia="en-ZA"/>
        </w:rPr>
      </w:pPr>
      <w:r w:rsidRPr="006E3242">
        <w:rPr>
          <w:rFonts w:ascii="Arial" w:hAnsi="Arial" w:cs="Arial"/>
          <w:sz w:val="18"/>
          <w:szCs w:val="18"/>
          <w:lang w:val="en-ZA" w:eastAsia="en-ZA"/>
        </w:rPr>
        <w:t>T</w:t>
      </w:r>
      <w:r w:rsidR="00E14824" w:rsidRPr="006E3242">
        <w:rPr>
          <w:rFonts w:ascii="Arial" w:hAnsi="Arial" w:cs="Arial"/>
          <w:sz w:val="18"/>
          <w:szCs w:val="18"/>
          <w:lang w:val="en-ZA" w:eastAsia="en-ZA"/>
        </w:rPr>
        <w:t xml:space="preserve">he following increases in property rates and service charges will be </w:t>
      </w:r>
      <w:r w:rsidRPr="006E3242">
        <w:rPr>
          <w:rFonts w:ascii="Arial" w:hAnsi="Arial" w:cs="Arial"/>
          <w:sz w:val="18"/>
          <w:szCs w:val="18"/>
          <w:lang w:val="en-ZA" w:eastAsia="en-ZA"/>
        </w:rPr>
        <w:t>implemented</w:t>
      </w:r>
      <w:r w:rsidR="00E14824" w:rsidRPr="006E3242">
        <w:rPr>
          <w:rFonts w:ascii="Arial" w:hAnsi="Arial" w:cs="Arial"/>
          <w:sz w:val="18"/>
          <w:szCs w:val="18"/>
          <w:lang w:val="en-ZA" w:eastAsia="en-ZA"/>
        </w:rPr>
        <w:t xml:space="preserve"> with effect from 1 July 2018:</w:t>
      </w:r>
    </w:p>
    <w:p w14:paraId="3FB70B9C" w14:textId="77777777" w:rsidR="00E14824" w:rsidRPr="006E3242" w:rsidRDefault="00E14824" w:rsidP="00AC471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6C4543D9" w14:textId="77777777" w:rsidR="00E14824" w:rsidRPr="00E14824" w:rsidRDefault="00E14824" w:rsidP="00AC4713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E14824">
        <w:rPr>
          <w:rFonts w:ascii="Arial" w:eastAsia="Times New Roman" w:hAnsi="Arial" w:cs="Arial"/>
          <w:sz w:val="18"/>
          <w:szCs w:val="18"/>
        </w:rPr>
        <w:t>Water</w:t>
      </w:r>
      <w:r w:rsidRPr="00E14824">
        <w:rPr>
          <w:rFonts w:ascii="Arial" w:eastAsia="Times New Roman" w:hAnsi="Arial" w:cs="Arial"/>
          <w:sz w:val="18"/>
          <w:szCs w:val="18"/>
        </w:rPr>
        <w:tab/>
      </w:r>
      <w:r w:rsidRPr="00E14824">
        <w:rPr>
          <w:rFonts w:ascii="Arial" w:eastAsia="Times New Roman" w:hAnsi="Arial" w:cs="Arial"/>
          <w:sz w:val="18"/>
          <w:szCs w:val="18"/>
        </w:rPr>
        <w:tab/>
      </w:r>
      <w:r w:rsidRPr="00E14824">
        <w:rPr>
          <w:rFonts w:ascii="Arial" w:eastAsia="Times New Roman" w:hAnsi="Arial" w:cs="Arial"/>
          <w:sz w:val="18"/>
          <w:szCs w:val="18"/>
        </w:rPr>
        <w:tab/>
      </w:r>
      <w:r w:rsidRPr="00E14824">
        <w:rPr>
          <w:rFonts w:ascii="Arial" w:eastAsia="Times New Roman" w:hAnsi="Arial" w:cs="Arial"/>
          <w:sz w:val="18"/>
          <w:szCs w:val="18"/>
        </w:rPr>
        <w:tab/>
      </w:r>
      <w:r w:rsidRPr="00E14824">
        <w:rPr>
          <w:rFonts w:ascii="Arial" w:eastAsia="Times New Roman" w:hAnsi="Arial" w:cs="Arial"/>
          <w:sz w:val="18"/>
          <w:szCs w:val="18"/>
        </w:rPr>
        <w:tab/>
      </w:r>
      <w:r w:rsidRPr="00E14824">
        <w:rPr>
          <w:rFonts w:ascii="Arial" w:eastAsia="Times New Roman" w:hAnsi="Arial" w:cs="Arial"/>
          <w:sz w:val="18"/>
          <w:szCs w:val="18"/>
        </w:rPr>
        <w:tab/>
        <w:t>6%</w:t>
      </w:r>
    </w:p>
    <w:p w14:paraId="3848D66A" w14:textId="77777777" w:rsidR="00E14824" w:rsidRPr="00E14824" w:rsidRDefault="00E14824" w:rsidP="00AC4713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E14824">
        <w:rPr>
          <w:rFonts w:ascii="Arial" w:eastAsia="Times New Roman" w:hAnsi="Arial" w:cs="Arial"/>
          <w:sz w:val="18"/>
          <w:szCs w:val="18"/>
        </w:rPr>
        <w:t>Sanitation</w:t>
      </w:r>
      <w:r w:rsidRPr="00E14824">
        <w:rPr>
          <w:rFonts w:ascii="Arial" w:eastAsia="Times New Roman" w:hAnsi="Arial" w:cs="Arial"/>
          <w:sz w:val="18"/>
          <w:szCs w:val="18"/>
        </w:rPr>
        <w:tab/>
      </w:r>
      <w:r w:rsidRPr="00E14824">
        <w:rPr>
          <w:rFonts w:ascii="Arial" w:eastAsia="Times New Roman" w:hAnsi="Arial" w:cs="Arial"/>
          <w:sz w:val="18"/>
          <w:szCs w:val="18"/>
        </w:rPr>
        <w:tab/>
      </w:r>
      <w:r w:rsidRPr="00E14824">
        <w:rPr>
          <w:rFonts w:ascii="Arial" w:eastAsia="Times New Roman" w:hAnsi="Arial" w:cs="Arial"/>
          <w:sz w:val="18"/>
          <w:szCs w:val="18"/>
        </w:rPr>
        <w:tab/>
      </w:r>
      <w:r w:rsidRPr="00E14824">
        <w:rPr>
          <w:rFonts w:ascii="Arial" w:eastAsia="Times New Roman" w:hAnsi="Arial" w:cs="Arial"/>
          <w:sz w:val="18"/>
          <w:szCs w:val="18"/>
        </w:rPr>
        <w:tab/>
      </w:r>
      <w:r w:rsidRPr="00E14824">
        <w:rPr>
          <w:rFonts w:ascii="Arial" w:eastAsia="Times New Roman" w:hAnsi="Arial" w:cs="Arial"/>
          <w:sz w:val="18"/>
          <w:szCs w:val="18"/>
        </w:rPr>
        <w:tab/>
        <w:t>6%</w:t>
      </w:r>
    </w:p>
    <w:p w14:paraId="5D5680A4" w14:textId="77777777" w:rsidR="00E14824" w:rsidRPr="00E14824" w:rsidRDefault="00E14824" w:rsidP="00AC4713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E14824">
        <w:rPr>
          <w:rFonts w:ascii="Arial" w:eastAsia="Times New Roman" w:hAnsi="Arial" w:cs="Arial"/>
          <w:sz w:val="18"/>
          <w:szCs w:val="18"/>
        </w:rPr>
        <w:t>Refuse</w:t>
      </w:r>
      <w:r w:rsidRPr="00E14824">
        <w:rPr>
          <w:rFonts w:ascii="Arial" w:eastAsia="Times New Roman" w:hAnsi="Arial" w:cs="Arial"/>
          <w:sz w:val="18"/>
          <w:szCs w:val="18"/>
        </w:rPr>
        <w:tab/>
      </w:r>
      <w:r w:rsidRPr="00E14824">
        <w:rPr>
          <w:rFonts w:ascii="Arial" w:eastAsia="Times New Roman" w:hAnsi="Arial" w:cs="Arial"/>
          <w:sz w:val="18"/>
          <w:szCs w:val="18"/>
        </w:rPr>
        <w:tab/>
      </w:r>
      <w:r w:rsidRPr="00E14824">
        <w:rPr>
          <w:rFonts w:ascii="Arial" w:eastAsia="Times New Roman" w:hAnsi="Arial" w:cs="Arial"/>
          <w:sz w:val="18"/>
          <w:szCs w:val="18"/>
        </w:rPr>
        <w:tab/>
      </w:r>
      <w:r w:rsidRPr="00E14824">
        <w:rPr>
          <w:rFonts w:ascii="Arial" w:eastAsia="Times New Roman" w:hAnsi="Arial" w:cs="Arial"/>
          <w:sz w:val="18"/>
          <w:szCs w:val="18"/>
        </w:rPr>
        <w:tab/>
      </w:r>
      <w:r w:rsidRPr="00E14824">
        <w:rPr>
          <w:rFonts w:ascii="Arial" w:eastAsia="Times New Roman" w:hAnsi="Arial" w:cs="Arial"/>
          <w:sz w:val="18"/>
          <w:szCs w:val="18"/>
        </w:rPr>
        <w:tab/>
      </w:r>
      <w:r w:rsidRPr="00E14824">
        <w:rPr>
          <w:rFonts w:ascii="Arial" w:eastAsia="Times New Roman" w:hAnsi="Arial" w:cs="Arial"/>
          <w:sz w:val="18"/>
          <w:szCs w:val="18"/>
        </w:rPr>
        <w:tab/>
        <w:t>7%</w:t>
      </w:r>
    </w:p>
    <w:p w14:paraId="5A91EF24" w14:textId="77777777" w:rsidR="00E14824" w:rsidRPr="00E14824" w:rsidRDefault="00E14824" w:rsidP="00AC4713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E14824">
        <w:rPr>
          <w:rFonts w:ascii="Arial" w:eastAsia="Times New Roman" w:hAnsi="Arial" w:cs="Arial"/>
          <w:sz w:val="18"/>
          <w:szCs w:val="18"/>
        </w:rPr>
        <w:t>Electricity (average increase in income)</w:t>
      </w:r>
      <w:r w:rsidRPr="00E14824">
        <w:rPr>
          <w:rFonts w:ascii="Arial" w:eastAsia="Times New Roman" w:hAnsi="Arial" w:cs="Arial"/>
          <w:sz w:val="18"/>
          <w:szCs w:val="18"/>
        </w:rPr>
        <w:tab/>
      </w:r>
      <w:r w:rsidRPr="00E14824">
        <w:rPr>
          <w:rFonts w:ascii="Arial" w:eastAsia="Times New Roman" w:hAnsi="Arial" w:cs="Arial"/>
          <w:sz w:val="18"/>
          <w:szCs w:val="18"/>
        </w:rPr>
        <w:tab/>
        <w:t>7%</w:t>
      </w:r>
    </w:p>
    <w:p w14:paraId="2B901092" w14:textId="77777777" w:rsidR="00E14824" w:rsidRPr="00E14824" w:rsidRDefault="00E14824" w:rsidP="00FF5D3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E14824">
        <w:rPr>
          <w:rFonts w:ascii="Arial" w:eastAsia="Times New Roman" w:hAnsi="Arial" w:cs="Arial"/>
          <w:sz w:val="18"/>
          <w:szCs w:val="18"/>
        </w:rPr>
        <w:t>Property rates</w:t>
      </w:r>
      <w:r w:rsidRPr="00E14824">
        <w:rPr>
          <w:rFonts w:ascii="Arial" w:eastAsia="Times New Roman" w:hAnsi="Arial" w:cs="Arial"/>
          <w:sz w:val="18"/>
          <w:szCs w:val="18"/>
        </w:rPr>
        <w:tab/>
      </w:r>
      <w:r w:rsidRPr="00E14824">
        <w:rPr>
          <w:rFonts w:ascii="Arial" w:eastAsia="Times New Roman" w:hAnsi="Arial" w:cs="Arial"/>
          <w:sz w:val="18"/>
          <w:szCs w:val="18"/>
        </w:rPr>
        <w:tab/>
      </w:r>
      <w:r w:rsidRPr="00E14824">
        <w:rPr>
          <w:rFonts w:ascii="Arial" w:eastAsia="Times New Roman" w:hAnsi="Arial" w:cs="Arial"/>
          <w:sz w:val="18"/>
          <w:szCs w:val="18"/>
        </w:rPr>
        <w:tab/>
      </w:r>
      <w:r w:rsidRPr="00E14824">
        <w:rPr>
          <w:rFonts w:ascii="Arial" w:eastAsia="Times New Roman" w:hAnsi="Arial" w:cs="Arial"/>
          <w:sz w:val="18"/>
          <w:szCs w:val="18"/>
        </w:rPr>
        <w:tab/>
      </w:r>
      <w:r w:rsidRPr="00E14824">
        <w:rPr>
          <w:rFonts w:ascii="Arial" w:eastAsia="Times New Roman" w:hAnsi="Arial" w:cs="Arial"/>
          <w:sz w:val="18"/>
          <w:szCs w:val="18"/>
        </w:rPr>
        <w:tab/>
        <w:t>6%</w:t>
      </w:r>
    </w:p>
    <w:p w14:paraId="50D8785F" w14:textId="77777777" w:rsidR="00E14824" w:rsidRPr="00E14824" w:rsidRDefault="00E14824" w:rsidP="00AC471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1B8EAB5B" w14:textId="710697B8" w:rsidR="00E14824" w:rsidRDefault="00E14824" w:rsidP="00AC47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en-ZA" w:eastAsia="en-ZA"/>
        </w:rPr>
      </w:pPr>
      <w:r w:rsidRPr="00E14824">
        <w:rPr>
          <w:rFonts w:ascii="Arial" w:hAnsi="Arial" w:cs="Arial"/>
          <w:sz w:val="18"/>
          <w:szCs w:val="18"/>
          <w:lang w:val="en-ZA" w:eastAsia="en-ZA"/>
        </w:rPr>
        <w:t>Further to this</w:t>
      </w:r>
      <w:r w:rsidR="001A6664">
        <w:rPr>
          <w:rFonts w:ascii="Arial" w:hAnsi="Arial" w:cs="Arial"/>
          <w:sz w:val="18"/>
          <w:szCs w:val="18"/>
          <w:lang w:val="en-ZA" w:eastAsia="en-ZA"/>
        </w:rPr>
        <w:t>,</w:t>
      </w:r>
      <w:r w:rsidRPr="00E14824">
        <w:rPr>
          <w:rFonts w:ascii="Arial" w:hAnsi="Arial" w:cs="Arial"/>
          <w:sz w:val="18"/>
          <w:szCs w:val="18"/>
          <w:lang w:val="en-ZA" w:eastAsia="en-ZA"/>
        </w:rPr>
        <w:t xml:space="preserve"> the electricity tariff for residents in all towns will be standardised and converted to block-tariffs. The refuse tariff will be standardised and increased to the highest tariff currently on the tariff structure.</w:t>
      </w:r>
    </w:p>
    <w:p w14:paraId="06C36507" w14:textId="49C79A2B" w:rsidR="001A6664" w:rsidRDefault="001A6664" w:rsidP="00AC47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en-ZA" w:eastAsia="en-ZA"/>
        </w:rPr>
      </w:pPr>
    </w:p>
    <w:p w14:paraId="7D0EBC29" w14:textId="2329CB03" w:rsidR="001A6664" w:rsidRPr="001A6664" w:rsidRDefault="001A6664" w:rsidP="00AC4713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</w:rPr>
      </w:pPr>
      <w:r w:rsidRPr="006E3242">
        <w:rPr>
          <w:rFonts w:ascii="Arial" w:eastAsia="Times New Roman" w:hAnsi="Arial" w:cs="Arial"/>
          <w:sz w:val="18"/>
          <w:szCs w:val="18"/>
        </w:rPr>
        <w:t xml:space="preserve">The approved Annual Budget </w:t>
      </w:r>
      <w:r w:rsidR="00AC4713" w:rsidRPr="006E3242">
        <w:rPr>
          <w:rFonts w:ascii="Arial" w:eastAsia="Times New Roman" w:hAnsi="Arial" w:cs="Arial"/>
          <w:sz w:val="18"/>
          <w:szCs w:val="18"/>
        </w:rPr>
        <w:t xml:space="preserve">containing </w:t>
      </w:r>
      <w:r w:rsidRPr="006E3242">
        <w:rPr>
          <w:rFonts w:ascii="Arial" w:eastAsia="Times New Roman" w:hAnsi="Arial" w:cs="Arial"/>
          <w:sz w:val="18"/>
          <w:szCs w:val="18"/>
        </w:rPr>
        <w:t xml:space="preserve">detailed Rates and Tariffs schedules </w:t>
      </w:r>
      <w:r w:rsidR="00FF5D33" w:rsidRPr="006E3242">
        <w:rPr>
          <w:rFonts w:ascii="Arial" w:eastAsia="Times New Roman" w:hAnsi="Arial" w:cs="Arial"/>
          <w:sz w:val="18"/>
          <w:szCs w:val="18"/>
        </w:rPr>
        <w:t>is</w:t>
      </w:r>
      <w:r w:rsidRPr="006E3242">
        <w:rPr>
          <w:rFonts w:ascii="Arial" w:eastAsia="Times New Roman" w:hAnsi="Arial" w:cs="Arial"/>
          <w:sz w:val="18"/>
          <w:szCs w:val="18"/>
        </w:rPr>
        <w:t xml:space="preserve"> available at the </w:t>
      </w:r>
      <w:r w:rsidR="00FF5D33" w:rsidRPr="006E3242">
        <w:rPr>
          <w:rFonts w:ascii="Arial" w:eastAsia="Times New Roman" w:hAnsi="Arial" w:cs="Arial"/>
          <w:sz w:val="18"/>
          <w:szCs w:val="18"/>
        </w:rPr>
        <w:t xml:space="preserve">Municipal </w:t>
      </w:r>
      <w:r w:rsidRPr="006E3242">
        <w:rPr>
          <w:rFonts w:ascii="Arial" w:eastAsia="Times New Roman" w:hAnsi="Arial" w:cs="Arial"/>
          <w:sz w:val="18"/>
          <w:szCs w:val="18"/>
        </w:rPr>
        <w:t xml:space="preserve">administrative units in Graaff-Reinet, Aberdeen, Nieu-Bethesda, Willowmore, Steytlerville, Rietbron, Jansenville and Klipplaat, as well as </w:t>
      </w:r>
      <w:r w:rsidR="00FF5D33" w:rsidRPr="006E3242">
        <w:rPr>
          <w:rFonts w:ascii="Arial" w:eastAsia="Times New Roman" w:hAnsi="Arial" w:cs="Arial"/>
          <w:sz w:val="18"/>
          <w:szCs w:val="18"/>
        </w:rPr>
        <w:t xml:space="preserve">on </w:t>
      </w:r>
      <w:r w:rsidRPr="006E3242">
        <w:rPr>
          <w:rFonts w:ascii="Arial" w:eastAsia="Times New Roman" w:hAnsi="Arial" w:cs="Arial"/>
          <w:sz w:val="18"/>
          <w:szCs w:val="18"/>
        </w:rPr>
        <w:t xml:space="preserve">the municipal website </w:t>
      </w:r>
      <w:hyperlink r:id="rId5" w:history="1">
        <w:r w:rsidRPr="00615ABD">
          <w:rPr>
            <w:rStyle w:val="Hyperlink"/>
            <w:rFonts w:ascii="Arial" w:eastAsia="Times New Roman" w:hAnsi="Arial" w:cs="Arial"/>
            <w:sz w:val="18"/>
            <w:szCs w:val="18"/>
          </w:rPr>
          <w:t>www.bnlm.gov.za</w:t>
        </w:r>
      </w:hyperlink>
      <w:r>
        <w:rPr>
          <w:rFonts w:ascii="Arial" w:eastAsia="Times New Roman" w:hAnsi="Arial" w:cs="Arial"/>
          <w:color w:val="FF0000"/>
          <w:sz w:val="18"/>
          <w:szCs w:val="18"/>
        </w:rPr>
        <w:t xml:space="preserve"> </w:t>
      </w:r>
    </w:p>
    <w:p w14:paraId="4B50898A" w14:textId="77777777" w:rsidR="00E14824" w:rsidRPr="00AC4713" w:rsidRDefault="00E14824" w:rsidP="00E14824">
      <w:pPr>
        <w:rPr>
          <w:b/>
          <w:sz w:val="20"/>
          <w:szCs w:val="18"/>
        </w:rPr>
      </w:pPr>
    </w:p>
    <w:p w14:paraId="6BB957E9" w14:textId="014B91A4" w:rsidR="00E14824" w:rsidRPr="00AC4713" w:rsidRDefault="00E14824" w:rsidP="001A6664">
      <w:pPr>
        <w:spacing w:after="0" w:line="240" w:lineRule="auto"/>
        <w:rPr>
          <w:b/>
          <w:sz w:val="20"/>
          <w:szCs w:val="18"/>
        </w:rPr>
      </w:pPr>
      <w:r w:rsidRPr="00AC4713">
        <w:rPr>
          <w:b/>
          <w:sz w:val="20"/>
          <w:szCs w:val="18"/>
        </w:rPr>
        <w:t xml:space="preserve">Dr </w:t>
      </w:r>
      <w:r w:rsidR="001A6664" w:rsidRPr="00AC4713">
        <w:rPr>
          <w:b/>
          <w:sz w:val="20"/>
          <w:szCs w:val="18"/>
        </w:rPr>
        <w:t xml:space="preserve">EM </w:t>
      </w:r>
      <w:r w:rsidRPr="00AC4713">
        <w:rPr>
          <w:b/>
          <w:sz w:val="20"/>
          <w:szCs w:val="18"/>
        </w:rPr>
        <w:t>Rankwana</w:t>
      </w:r>
    </w:p>
    <w:p w14:paraId="2EB265A8" w14:textId="77777777" w:rsidR="006E3242" w:rsidRDefault="00E14824" w:rsidP="001A6664">
      <w:pPr>
        <w:spacing w:after="0" w:line="240" w:lineRule="auto"/>
        <w:rPr>
          <w:b/>
          <w:sz w:val="20"/>
          <w:szCs w:val="18"/>
        </w:rPr>
      </w:pPr>
      <w:r w:rsidRPr="00AC4713">
        <w:rPr>
          <w:b/>
          <w:sz w:val="20"/>
          <w:szCs w:val="18"/>
        </w:rPr>
        <w:t>Municipal Manager</w:t>
      </w:r>
      <w:r w:rsidR="00AC4713">
        <w:rPr>
          <w:b/>
          <w:sz w:val="20"/>
          <w:szCs w:val="18"/>
        </w:rPr>
        <w:t xml:space="preserve">                                                                                                                          </w:t>
      </w:r>
    </w:p>
    <w:p w14:paraId="6C9FE895" w14:textId="550C28A0" w:rsidR="001A6664" w:rsidRPr="00AC4713" w:rsidRDefault="006E3242" w:rsidP="001A6664">
      <w:pPr>
        <w:spacing w:after="0" w:line="240" w:lineRule="auto"/>
        <w:rPr>
          <w:b/>
          <w:sz w:val="20"/>
          <w:szCs w:val="18"/>
        </w:rPr>
      </w:pPr>
      <w:r>
        <w:rPr>
          <w:b/>
          <w:sz w:val="20"/>
          <w:szCs w:val="18"/>
        </w:rPr>
        <w:t>Notice No: 58/2018</w:t>
      </w:r>
    </w:p>
    <w:sectPr w:rsidR="001A6664" w:rsidRPr="00AC4713" w:rsidSect="00AC4713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824"/>
    <w:rsid w:val="00017ED1"/>
    <w:rsid w:val="0002511A"/>
    <w:rsid w:val="00041BAB"/>
    <w:rsid w:val="000600FC"/>
    <w:rsid w:val="00074548"/>
    <w:rsid w:val="00075C93"/>
    <w:rsid w:val="000777EC"/>
    <w:rsid w:val="000849D7"/>
    <w:rsid w:val="00087E30"/>
    <w:rsid w:val="00097926"/>
    <w:rsid w:val="000A13F6"/>
    <w:rsid w:val="000A151A"/>
    <w:rsid w:val="000D6309"/>
    <w:rsid w:val="000E5CCF"/>
    <w:rsid w:val="00101A1E"/>
    <w:rsid w:val="001247A0"/>
    <w:rsid w:val="00125020"/>
    <w:rsid w:val="0013245F"/>
    <w:rsid w:val="00141511"/>
    <w:rsid w:val="00147D7D"/>
    <w:rsid w:val="00153DE3"/>
    <w:rsid w:val="00182810"/>
    <w:rsid w:val="00183DFD"/>
    <w:rsid w:val="001A0AFA"/>
    <w:rsid w:val="001A6664"/>
    <w:rsid w:val="001A66B7"/>
    <w:rsid w:val="001B6651"/>
    <w:rsid w:val="001E1948"/>
    <w:rsid w:val="001E1F31"/>
    <w:rsid w:val="002059D4"/>
    <w:rsid w:val="002334B6"/>
    <w:rsid w:val="0023556A"/>
    <w:rsid w:val="00265333"/>
    <w:rsid w:val="00284BD9"/>
    <w:rsid w:val="002C0970"/>
    <w:rsid w:val="002C361A"/>
    <w:rsid w:val="002C4B1A"/>
    <w:rsid w:val="002D6CF5"/>
    <w:rsid w:val="002E6272"/>
    <w:rsid w:val="003011CA"/>
    <w:rsid w:val="00305D14"/>
    <w:rsid w:val="00306019"/>
    <w:rsid w:val="00313332"/>
    <w:rsid w:val="00330CFA"/>
    <w:rsid w:val="00342A12"/>
    <w:rsid w:val="00346285"/>
    <w:rsid w:val="00360E29"/>
    <w:rsid w:val="00372B59"/>
    <w:rsid w:val="00381D11"/>
    <w:rsid w:val="00384BCA"/>
    <w:rsid w:val="00391953"/>
    <w:rsid w:val="00395F28"/>
    <w:rsid w:val="003A2BF5"/>
    <w:rsid w:val="003B4176"/>
    <w:rsid w:val="003D7402"/>
    <w:rsid w:val="003F5706"/>
    <w:rsid w:val="00405A06"/>
    <w:rsid w:val="00415891"/>
    <w:rsid w:val="00415B0D"/>
    <w:rsid w:val="004247A0"/>
    <w:rsid w:val="00445EB8"/>
    <w:rsid w:val="004513EC"/>
    <w:rsid w:val="004628BA"/>
    <w:rsid w:val="00463FCA"/>
    <w:rsid w:val="00466E94"/>
    <w:rsid w:val="004A31CB"/>
    <w:rsid w:val="004A4328"/>
    <w:rsid w:val="004A5A9E"/>
    <w:rsid w:val="004A6A23"/>
    <w:rsid w:val="004A794A"/>
    <w:rsid w:val="004C0797"/>
    <w:rsid w:val="004C518F"/>
    <w:rsid w:val="004C75E5"/>
    <w:rsid w:val="004F0A0D"/>
    <w:rsid w:val="004F3655"/>
    <w:rsid w:val="005449B5"/>
    <w:rsid w:val="00550B40"/>
    <w:rsid w:val="00553175"/>
    <w:rsid w:val="00565BD2"/>
    <w:rsid w:val="00594FF1"/>
    <w:rsid w:val="005A4F80"/>
    <w:rsid w:val="005B6D42"/>
    <w:rsid w:val="005B6E17"/>
    <w:rsid w:val="005E1072"/>
    <w:rsid w:val="005E3B24"/>
    <w:rsid w:val="005F09A8"/>
    <w:rsid w:val="005F2F8C"/>
    <w:rsid w:val="005F3809"/>
    <w:rsid w:val="005F7AF3"/>
    <w:rsid w:val="0060015B"/>
    <w:rsid w:val="0060273A"/>
    <w:rsid w:val="006137CE"/>
    <w:rsid w:val="00623FD8"/>
    <w:rsid w:val="00632A19"/>
    <w:rsid w:val="006416EB"/>
    <w:rsid w:val="0064455C"/>
    <w:rsid w:val="006A1B30"/>
    <w:rsid w:val="006E3242"/>
    <w:rsid w:val="006E5991"/>
    <w:rsid w:val="006F39F5"/>
    <w:rsid w:val="00700A8B"/>
    <w:rsid w:val="007113CE"/>
    <w:rsid w:val="0071508A"/>
    <w:rsid w:val="007379DB"/>
    <w:rsid w:val="007456C9"/>
    <w:rsid w:val="00750C03"/>
    <w:rsid w:val="00753C76"/>
    <w:rsid w:val="007710C2"/>
    <w:rsid w:val="00783158"/>
    <w:rsid w:val="007A1AC6"/>
    <w:rsid w:val="007B153B"/>
    <w:rsid w:val="007B16D6"/>
    <w:rsid w:val="007B2878"/>
    <w:rsid w:val="007C4085"/>
    <w:rsid w:val="007F16DE"/>
    <w:rsid w:val="007F5C32"/>
    <w:rsid w:val="0080020E"/>
    <w:rsid w:val="00811FB7"/>
    <w:rsid w:val="008243A8"/>
    <w:rsid w:val="00825CA1"/>
    <w:rsid w:val="008319C8"/>
    <w:rsid w:val="008418B8"/>
    <w:rsid w:val="00850033"/>
    <w:rsid w:val="0085063F"/>
    <w:rsid w:val="00850A9F"/>
    <w:rsid w:val="008528F8"/>
    <w:rsid w:val="00854C89"/>
    <w:rsid w:val="008619E3"/>
    <w:rsid w:val="008949FA"/>
    <w:rsid w:val="008B1CFF"/>
    <w:rsid w:val="008C27BA"/>
    <w:rsid w:val="00914F57"/>
    <w:rsid w:val="00915F01"/>
    <w:rsid w:val="009274EE"/>
    <w:rsid w:val="00931A74"/>
    <w:rsid w:val="00950021"/>
    <w:rsid w:val="009752B5"/>
    <w:rsid w:val="00986A14"/>
    <w:rsid w:val="00997CC7"/>
    <w:rsid w:val="009B742F"/>
    <w:rsid w:val="009B747B"/>
    <w:rsid w:val="009D29BE"/>
    <w:rsid w:val="009D4905"/>
    <w:rsid w:val="009D75B0"/>
    <w:rsid w:val="009F58D1"/>
    <w:rsid w:val="00A007A1"/>
    <w:rsid w:val="00A0258A"/>
    <w:rsid w:val="00A24154"/>
    <w:rsid w:val="00A50FDE"/>
    <w:rsid w:val="00A54F0A"/>
    <w:rsid w:val="00A56ADE"/>
    <w:rsid w:val="00AA6BE8"/>
    <w:rsid w:val="00AB5BA5"/>
    <w:rsid w:val="00AC4713"/>
    <w:rsid w:val="00AC7DFC"/>
    <w:rsid w:val="00AF42FF"/>
    <w:rsid w:val="00B17E88"/>
    <w:rsid w:val="00B266B5"/>
    <w:rsid w:val="00B32663"/>
    <w:rsid w:val="00B8389B"/>
    <w:rsid w:val="00B96254"/>
    <w:rsid w:val="00B96A8A"/>
    <w:rsid w:val="00BB7B80"/>
    <w:rsid w:val="00BC2A48"/>
    <w:rsid w:val="00BD49C3"/>
    <w:rsid w:val="00BE4634"/>
    <w:rsid w:val="00BF2C1D"/>
    <w:rsid w:val="00C1171C"/>
    <w:rsid w:val="00C12EC3"/>
    <w:rsid w:val="00C12F43"/>
    <w:rsid w:val="00C32B24"/>
    <w:rsid w:val="00C32CF3"/>
    <w:rsid w:val="00C361B0"/>
    <w:rsid w:val="00C949DB"/>
    <w:rsid w:val="00CB6005"/>
    <w:rsid w:val="00CC162E"/>
    <w:rsid w:val="00CD62A2"/>
    <w:rsid w:val="00CE124F"/>
    <w:rsid w:val="00CF0D4D"/>
    <w:rsid w:val="00D00553"/>
    <w:rsid w:val="00D07202"/>
    <w:rsid w:val="00D15696"/>
    <w:rsid w:val="00D16148"/>
    <w:rsid w:val="00D20C96"/>
    <w:rsid w:val="00D2540C"/>
    <w:rsid w:val="00D52FB0"/>
    <w:rsid w:val="00DA082B"/>
    <w:rsid w:val="00DB7123"/>
    <w:rsid w:val="00DE7EBB"/>
    <w:rsid w:val="00DF1631"/>
    <w:rsid w:val="00E02D28"/>
    <w:rsid w:val="00E051EA"/>
    <w:rsid w:val="00E14824"/>
    <w:rsid w:val="00E23090"/>
    <w:rsid w:val="00E34640"/>
    <w:rsid w:val="00E4031E"/>
    <w:rsid w:val="00E44994"/>
    <w:rsid w:val="00E44EB9"/>
    <w:rsid w:val="00E52082"/>
    <w:rsid w:val="00E60539"/>
    <w:rsid w:val="00EB3FAC"/>
    <w:rsid w:val="00EC549E"/>
    <w:rsid w:val="00EC74E1"/>
    <w:rsid w:val="00EF3E3E"/>
    <w:rsid w:val="00F10413"/>
    <w:rsid w:val="00F1136A"/>
    <w:rsid w:val="00F24B1C"/>
    <w:rsid w:val="00F277A9"/>
    <w:rsid w:val="00F52CF6"/>
    <w:rsid w:val="00F56275"/>
    <w:rsid w:val="00F617ED"/>
    <w:rsid w:val="00F66B9B"/>
    <w:rsid w:val="00F6732F"/>
    <w:rsid w:val="00F76DD9"/>
    <w:rsid w:val="00FA3553"/>
    <w:rsid w:val="00FB523E"/>
    <w:rsid w:val="00FE3DD0"/>
    <w:rsid w:val="00FE68A7"/>
    <w:rsid w:val="00FF476C"/>
    <w:rsid w:val="00FF5D33"/>
    <w:rsid w:val="00FF60BD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22BE2"/>
  <w15:chartTrackingRefBased/>
  <w15:docId w15:val="{E9DA5CA8-97A8-4738-90DF-FD220842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824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666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6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nlm.gov.z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Bushi Mbotya</dc:creator>
  <cp:keywords/>
  <dc:description/>
  <cp:lastModifiedBy>tersius</cp:lastModifiedBy>
  <cp:revision>2</cp:revision>
  <dcterms:created xsi:type="dcterms:W3CDTF">2018-06-12T13:38:00Z</dcterms:created>
  <dcterms:modified xsi:type="dcterms:W3CDTF">2018-06-12T13:38:00Z</dcterms:modified>
</cp:coreProperties>
</file>