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90532" w14:textId="09290976" w:rsidR="00CA17D1" w:rsidRDefault="00CA17D1" w:rsidP="00CA17D1">
      <w:pPr>
        <w:pStyle w:val="Default"/>
        <w:jc w:val="center"/>
        <w:rPr>
          <w:rFonts w:ascii="Century Gothic" w:hAnsi="Century Gothic"/>
          <w:b/>
          <w:bCs/>
          <w:color w:val="auto"/>
          <w:sz w:val="18"/>
          <w:szCs w:val="18"/>
          <w:u w:val="single"/>
        </w:rPr>
      </w:pPr>
      <w:bookmarkStart w:id="0" w:name="_Hlk95912232"/>
      <w:r>
        <w:rPr>
          <w:noProof/>
          <w:lang w:eastAsia="en-ZA"/>
        </w:rPr>
        <w:drawing>
          <wp:inline distT="0" distB="0" distL="0" distR="0" wp14:anchorId="065CB37C" wp14:editId="1C1C5451">
            <wp:extent cx="4460682" cy="1339215"/>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79069" cy="1344735"/>
                    </a:xfrm>
                    <a:prstGeom prst="rect">
                      <a:avLst/>
                    </a:prstGeom>
                    <a:noFill/>
                    <a:ln>
                      <a:noFill/>
                    </a:ln>
                  </pic:spPr>
                </pic:pic>
              </a:graphicData>
            </a:graphic>
          </wp:inline>
        </w:drawing>
      </w:r>
    </w:p>
    <w:p w14:paraId="022412E5" w14:textId="533069D5" w:rsidR="00CA17D1" w:rsidRPr="00D70027" w:rsidRDefault="00CA17D1" w:rsidP="00CA17D1">
      <w:pPr>
        <w:pStyle w:val="Default"/>
        <w:jc w:val="center"/>
        <w:rPr>
          <w:rFonts w:ascii="Century Gothic" w:hAnsi="Century Gothic"/>
          <w:b/>
          <w:bCs/>
          <w:color w:val="auto"/>
          <w:sz w:val="18"/>
          <w:szCs w:val="18"/>
          <w:u w:val="single"/>
        </w:rPr>
      </w:pPr>
      <w:r w:rsidRPr="00D70027">
        <w:rPr>
          <w:rFonts w:ascii="Century Gothic" w:hAnsi="Century Gothic"/>
          <w:b/>
          <w:bCs/>
          <w:color w:val="auto"/>
          <w:sz w:val="18"/>
          <w:szCs w:val="18"/>
          <w:u w:val="single"/>
        </w:rPr>
        <w:t xml:space="preserve">DR BEYERS </w:t>
      </w:r>
      <w:proofErr w:type="gramStart"/>
      <w:r w:rsidRPr="00D70027">
        <w:rPr>
          <w:rFonts w:ascii="Century Gothic" w:hAnsi="Century Gothic"/>
          <w:b/>
          <w:bCs/>
          <w:color w:val="auto"/>
          <w:sz w:val="18"/>
          <w:szCs w:val="18"/>
          <w:u w:val="single"/>
        </w:rPr>
        <w:t>NAUDE  LOCAL</w:t>
      </w:r>
      <w:proofErr w:type="gramEnd"/>
      <w:r w:rsidRPr="00D70027">
        <w:rPr>
          <w:rFonts w:ascii="Century Gothic" w:hAnsi="Century Gothic"/>
          <w:b/>
          <w:bCs/>
          <w:color w:val="auto"/>
          <w:sz w:val="18"/>
          <w:szCs w:val="18"/>
          <w:u w:val="single"/>
        </w:rPr>
        <w:t xml:space="preserve"> MUNICIPALITY </w:t>
      </w:r>
    </w:p>
    <w:p w14:paraId="3CF58813" w14:textId="77777777" w:rsidR="00CA17D1" w:rsidRPr="00D70027" w:rsidRDefault="00CA17D1" w:rsidP="00CA17D1">
      <w:pPr>
        <w:pStyle w:val="Default"/>
        <w:jc w:val="center"/>
        <w:rPr>
          <w:rFonts w:ascii="Century Gothic" w:hAnsi="Century Gothic"/>
          <w:b/>
          <w:bCs/>
          <w:color w:val="auto"/>
          <w:sz w:val="18"/>
          <w:szCs w:val="18"/>
          <w:u w:val="single"/>
        </w:rPr>
      </w:pPr>
      <w:r w:rsidRPr="00D70027">
        <w:rPr>
          <w:rFonts w:ascii="Century Gothic" w:hAnsi="Century Gothic"/>
          <w:b/>
          <w:bCs/>
          <w:color w:val="auto"/>
          <w:sz w:val="18"/>
          <w:szCs w:val="18"/>
          <w:u w:val="single"/>
        </w:rPr>
        <w:t>DIRECTORATE: INFRASTRUCTURE &amp; ENGINEERING</w:t>
      </w:r>
    </w:p>
    <w:p w14:paraId="3272132D" w14:textId="77777777" w:rsidR="00CA17D1" w:rsidRPr="00D70027" w:rsidRDefault="00CA17D1" w:rsidP="00CA17D1">
      <w:pPr>
        <w:pStyle w:val="Default"/>
        <w:jc w:val="center"/>
        <w:rPr>
          <w:rFonts w:ascii="Century Gothic" w:hAnsi="Century Gothic"/>
          <w:b/>
          <w:bCs/>
          <w:color w:val="auto"/>
          <w:sz w:val="18"/>
          <w:szCs w:val="18"/>
          <w:u w:val="single"/>
        </w:rPr>
      </w:pPr>
      <w:r w:rsidRPr="00D70027">
        <w:rPr>
          <w:rFonts w:ascii="Century Gothic" w:hAnsi="Century Gothic"/>
          <w:b/>
          <w:bCs/>
          <w:color w:val="auto"/>
          <w:sz w:val="18"/>
          <w:szCs w:val="18"/>
          <w:u w:val="single"/>
        </w:rPr>
        <w:t>NOTICE NO: 201/2024</w:t>
      </w:r>
    </w:p>
    <w:p w14:paraId="5D5680C2" w14:textId="77777777" w:rsidR="00CA17D1" w:rsidRPr="00D70027" w:rsidRDefault="00CA17D1" w:rsidP="00CA17D1">
      <w:pPr>
        <w:pStyle w:val="Default"/>
        <w:jc w:val="center"/>
        <w:rPr>
          <w:rFonts w:ascii="Century Gothic" w:hAnsi="Century Gothic"/>
          <w:b/>
          <w:bCs/>
          <w:color w:val="auto"/>
          <w:sz w:val="18"/>
          <w:szCs w:val="18"/>
          <w:u w:val="single"/>
        </w:rPr>
      </w:pPr>
      <w:bookmarkStart w:id="1" w:name="_Hlk145581802"/>
      <w:bookmarkStart w:id="2" w:name="_Hlk502225785"/>
      <w:r w:rsidRPr="00D70027">
        <w:rPr>
          <w:rFonts w:ascii="Century Gothic" w:hAnsi="Century Gothic"/>
          <w:b/>
          <w:bCs/>
          <w:color w:val="auto"/>
          <w:sz w:val="18"/>
          <w:szCs w:val="18"/>
          <w:u w:val="single"/>
        </w:rPr>
        <w:t xml:space="preserve">APPOINTMENT OF </w:t>
      </w:r>
      <w:proofErr w:type="gramStart"/>
      <w:r w:rsidRPr="00D70027">
        <w:rPr>
          <w:rFonts w:ascii="Century Gothic" w:hAnsi="Century Gothic"/>
          <w:b/>
          <w:bCs/>
          <w:color w:val="auto"/>
          <w:sz w:val="18"/>
          <w:szCs w:val="18"/>
          <w:u w:val="single"/>
        </w:rPr>
        <w:t>CONSULTANTS  FOR</w:t>
      </w:r>
      <w:proofErr w:type="gramEnd"/>
      <w:r w:rsidRPr="00D70027">
        <w:rPr>
          <w:rFonts w:ascii="Century Gothic" w:hAnsi="Century Gothic"/>
          <w:b/>
          <w:bCs/>
          <w:color w:val="auto"/>
          <w:sz w:val="18"/>
          <w:szCs w:val="18"/>
          <w:u w:val="single"/>
        </w:rPr>
        <w:t xml:space="preserve"> VARIOUS ENGINEERING AND GROUNDWATER PROJECTS FOR A PERIOD OF THREE YEARS IN THE DR BEYERS NAUDE  MUNICIPAL AREA</w:t>
      </w:r>
    </w:p>
    <w:bookmarkEnd w:id="1"/>
    <w:p w14:paraId="5A968364" w14:textId="77777777" w:rsidR="00CA17D1" w:rsidRPr="00D70027" w:rsidRDefault="00CA17D1" w:rsidP="00CA17D1">
      <w:pPr>
        <w:pStyle w:val="Default"/>
        <w:jc w:val="center"/>
        <w:rPr>
          <w:rFonts w:ascii="Century Gothic" w:hAnsi="Century Gothic"/>
          <w:b/>
          <w:bCs/>
          <w:color w:val="auto"/>
          <w:sz w:val="18"/>
          <w:szCs w:val="18"/>
          <w:u w:val="single"/>
        </w:rPr>
      </w:pPr>
    </w:p>
    <w:bookmarkEnd w:id="2"/>
    <w:p w14:paraId="5B3B8944" w14:textId="77777777" w:rsidR="00CA17D1" w:rsidRPr="00D70027" w:rsidRDefault="00CA17D1" w:rsidP="00CA17D1">
      <w:pPr>
        <w:pStyle w:val="Default"/>
        <w:jc w:val="both"/>
        <w:rPr>
          <w:rFonts w:ascii="Century Gothic" w:hAnsi="Century Gothic"/>
          <w:sz w:val="18"/>
          <w:szCs w:val="18"/>
        </w:rPr>
      </w:pPr>
      <w:r w:rsidRPr="00D70027">
        <w:rPr>
          <w:rFonts w:ascii="Century Gothic" w:hAnsi="Century Gothic"/>
          <w:sz w:val="18"/>
          <w:szCs w:val="18"/>
        </w:rPr>
        <w:t xml:space="preserve">Suitably Qualified, Capable and Experienced Professional Service Providers are hereby invited to submit tenders for the Appointment of consultants for various engineering and groundwater projects for a period of three years in the Dr Beyers </w:t>
      </w:r>
      <w:proofErr w:type="gramStart"/>
      <w:r w:rsidRPr="00D70027">
        <w:rPr>
          <w:rFonts w:ascii="Century Gothic" w:hAnsi="Century Gothic"/>
          <w:sz w:val="18"/>
          <w:szCs w:val="18"/>
        </w:rPr>
        <w:t>Naude  Municipal</w:t>
      </w:r>
      <w:proofErr w:type="gramEnd"/>
      <w:r w:rsidRPr="00D70027">
        <w:rPr>
          <w:rFonts w:ascii="Century Gothic" w:hAnsi="Century Gothic"/>
          <w:sz w:val="18"/>
          <w:szCs w:val="18"/>
        </w:rPr>
        <w:t xml:space="preserve"> Area.</w:t>
      </w:r>
    </w:p>
    <w:p w14:paraId="160DCBCC" w14:textId="77777777" w:rsidR="00CA17D1" w:rsidRPr="00D70027" w:rsidRDefault="00CA17D1" w:rsidP="00CA17D1">
      <w:pPr>
        <w:pStyle w:val="Default"/>
        <w:rPr>
          <w:rFonts w:ascii="Century Gothic" w:hAnsi="Century Gothic"/>
          <w:sz w:val="18"/>
          <w:szCs w:val="18"/>
        </w:rPr>
      </w:pPr>
    </w:p>
    <w:p w14:paraId="2A501FA3" w14:textId="77777777" w:rsidR="00CA17D1" w:rsidRPr="00D70027" w:rsidRDefault="00CA17D1" w:rsidP="00CA17D1">
      <w:pPr>
        <w:jc w:val="both"/>
        <w:rPr>
          <w:rFonts w:ascii="Century Gothic" w:hAnsi="Century Gothic" w:cs="Arial"/>
          <w:b/>
          <w:sz w:val="18"/>
          <w:szCs w:val="18"/>
          <w:u w:val="single"/>
        </w:rPr>
      </w:pPr>
      <w:r w:rsidRPr="00D70027">
        <w:rPr>
          <w:rFonts w:ascii="Century Gothic" w:hAnsi="Century Gothic" w:cs="Arial"/>
          <w:b/>
          <w:sz w:val="18"/>
          <w:szCs w:val="18"/>
          <w:u w:val="single"/>
        </w:rPr>
        <w:t>Tenders</w:t>
      </w:r>
    </w:p>
    <w:p w14:paraId="5EDA717A" w14:textId="77777777" w:rsidR="00CA17D1" w:rsidRPr="00D70027" w:rsidRDefault="00CA17D1" w:rsidP="00CA17D1">
      <w:pPr>
        <w:jc w:val="both"/>
        <w:rPr>
          <w:rFonts w:ascii="Century Gothic" w:hAnsi="Century Gothic" w:cs="Arial"/>
          <w:sz w:val="18"/>
          <w:szCs w:val="18"/>
        </w:rPr>
      </w:pPr>
    </w:p>
    <w:p w14:paraId="7D40372C" w14:textId="77777777" w:rsidR="00CA17D1" w:rsidRPr="00D70027" w:rsidRDefault="00CA17D1" w:rsidP="00CA17D1">
      <w:pPr>
        <w:jc w:val="both"/>
        <w:rPr>
          <w:rFonts w:ascii="Century Gothic" w:hAnsi="Century Gothic" w:cs="Arial"/>
          <w:sz w:val="18"/>
          <w:szCs w:val="18"/>
        </w:rPr>
      </w:pPr>
      <w:bookmarkStart w:id="3" w:name="_Hlk105067809"/>
      <w:r w:rsidRPr="00D70027">
        <w:rPr>
          <w:rFonts w:ascii="Century Gothic" w:hAnsi="Century Gothic" w:cs="Arial"/>
          <w:sz w:val="18"/>
          <w:szCs w:val="18"/>
        </w:rPr>
        <w:t xml:space="preserve">Tender documents will be available at a non-refundable deposit R105.00 deposit. via email: </w:t>
      </w:r>
      <w:hyperlink r:id="rId6" w:history="1">
        <w:r w:rsidRPr="00D70027">
          <w:rPr>
            <w:rStyle w:val="Hyperlink"/>
            <w:rFonts w:ascii="Century Gothic" w:eastAsiaTheme="majorEastAsia" w:hAnsi="Century Gothic" w:cs="Arial"/>
            <w:sz w:val="18"/>
            <w:szCs w:val="18"/>
          </w:rPr>
          <w:t>koebergj@bnlm.gov.za</w:t>
        </w:r>
      </w:hyperlink>
      <w:r w:rsidRPr="00D70027">
        <w:rPr>
          <w:rFonts w:ascii="Century Gothic" w:hAnsi="Century Gothic" w:cs="Arial"/>
          <w:sz w:val="18"/>
          <w:szCs w:val="18"/>
        </w:rPr>
        <w:t xml:space="preserve">. </w:t>
      </w:r>
    </w:p>
    <w:p w14:paraId="23919BBB" w14:textId="77777777" w:rsidR="00CA17D1" w:rsidRPr="00D70027" w:rsidRDefault="00CA17D1" w:rsidP="00CA17D1">
      <w:pPr>
        <w:jc w:val="both"/>
        <w:rPr>
          <w:rFonts w:ascii="Century Gothic" w:hAnsi="Century Gothic" w:cs="Arial"/>
          <w:sz w:val="18"/>
          <w:szCs w:val="18"/>
        </w:rPr>
      </w:pPr>
    </w:p>
    <w:p w14:paraId="24101B71" w14:textId="77777777" w:rsidR="00CA17D1" w:rsidRPr="00D70027" w:rsidRDefault="00CA17D1" w:rsidP="00CA17D1">
      <w:pPr>
        <w:jc w:val="both"/>
        <w:rPr>
          <w:rFonts w:ascii="Century Gothic" w:hAnsi="Century Gothic" w:cs="Arial"/>
          <w:sz w:val="18"/>
          <w:szCs w:val="18"/>
        </w:rPr>
      </w:pPr>
      <w:r w:rsidRPr="00D70027">
        <w:rPr>
          <w:rFonts w:ascii="Century Gothic" w:hAnsi="Century Gothic" w:cs="Arial"/>
          <w:sz w:val="18"/>
          <w:szCs w:val="18"/>
        </w:rPr>
        <w:t xml:space="preserve">Bank details are as follow: Standard Bank, Account Number 332104192, Branch Number 050116, reference – Tender </w:t>
      </w:r>
      <w:proofErr w:type="gramStart"/>
      <w:r w:rsidRPr="00D70027">
        <w:rPr>
          <w:rFonts w:ascii="Century Gothic" w:hAnsi="Century Gothic" w:cs="Arial"/>
          <w:sz w:val="18"/>
          <w:szCs w:val="18"/>
        </w:rPr>
        <w:t>number  and</w:t>
      </w:r>
      <w:proofErr w:type="gramEnd"/>
      <w:r w:rsidRPr="00D70027">
        <w:rPr>
          <w:rFonts w:ascii="Century Gothic" w:hAnsi="Century Gothic" w:cs="Arial"/>
          <w:sz w:val="18"/>
          <w:szCs w:val="18"/>
        </w:rPr>
        <w:t xml:space="preserve"> Company name, proof of payment should be provided before any tender documents will be issued.</w:t>
      </w:r>
    </w:p>
    <w:p w14:paraId="18F994F8" w14:textId="77777777" w:rsidR="00CA17D1" w:rsidRPr="00D70027" w:rsidRDefault="00CA17D1" w:rsidP="00CA17D1">
      <w:pPr>
        <w:jc w:val="both"/>
        <w:rPr>
          <w:rFonts w:ascii="Century Gothic" w:hAnsi="Century Gothic" w:cs="Arial"/>
          <w:sz w:val="18"/>
          <w:szCs w:val="18"/>
        </w:rPr>
      </w:pPr>
    </w:p>
    <w:bookmarkEnd w:id="3"/>
    <w:p w14:paraId="39D4BC8B" w14:textId="77777777" w:rsidR="00CA17D1" w:rsidRPr="00D70027" w:rsidRDefault="00CA17D1" w:rsidP="00CA17D1">
      <w:pPr>
        <w:pStyle w:val="NormalWeb"/>
        <w:rPr>
          <w:rFonts w:ascii="Century Gothic" w:hAnsi="Century Gothic" w:cs="Arial"/>
          <w:b/>
          <w:sz w:val="18"/>
          <w:szCs w:val="18"/>
        </w:rPr>
      </w:pPr>
      <w:r w:rsidRPr="00D70027">
        <w:rPr>
          <w:rFonts w:ascii="Century Gothic" w:hAnsi="Century Gothic" w:cs="Arial"/>
          <w:b/>
          <w:sz w:val="18"/>
          <w:szCs w:val="18"/>
          <w:u w:val="single"/>
        </w:rPr>
        <w:t>Please note</w:t>
      </w:r>
      <w:r w:rsidRPr="00D70027">
        <w:rPr>
          <w:rFonts w:ascii="Century Gothic" w:hAnsi="Century Gothic" w:cs="Arial"/>
          <w:b/>
          <w:sz w:val="18"/>
          <w:szCs w:val="18"/>
        </w:rPr>
        <w:t xml:space="preserve">: </w:t>
      </w:r>
    </w:p>
    <w:p w14:paraId="31520128" w14:textId="77777777" w:rsidR="00CA17D1" w:rsidRPr="00D70027" w:rsidRDefault="00CA17D1" w:rsidP="00CA17D1">
      <w:pPr>
        <w:numPr>
          <w:ilvl w:val="0"/>
          <w:numId w:val="2"/>
        </w:numPr>
        <w:jc w:val="both"/>
        <w:rPr>
          <w:rFonts w:ascii="Century Gothic" w:hAnsi="Century Gothic" w:cs="Arial"/>
          <w:sz w:val="18"/>
          <w:szCs w:val="18"/>
        </w:rPr>
      </w:pPr>
      <w:r w:rsidRPr="00D70027">
        <w:rPr>
          <w:rFonts w:ascii="Century Gothic" w:hAnsi="Century Gothic" w:cs="Arial"/>
          <w:sz w:val="18"/>
          <w:szCs w:val="18"/>
        </w:rPr>
        <w:t>Telegraphic, telephonic, telex, facsimile, email or late tenders will not be accepted.</w:t>
      </w:r>
    </w:p>
    <w:p w14:paraId="32031B26" w14:textId="77777777" w:rsidR="00CA17D1" w:rsidRPr="00D70027" w:rsidRDefault="00CA17D1" w:rsidP="00CA17D1">
      <w:pPr>
        <w:numPr>
          <w:ilvl w:val="0"/>
          <w:numId w:val="1"/>
        </w:numPr>
        <w:jc w:val="both"/>
        <w:rPr>
          <w:rFonts w:ascii="Century Gothic" w:hAnsi="Century Gothic" w:cs="Arial"/>
          <w:sz w:val="18"/>
          <w:szCs w:val="18"/>
        </w:rPr>
      </w:pPr>
      <w:r w:rsidRPr="00D70027">
        <w:rPr>
          <w:rFonts w:ascii="Century Gothic" w:hAnsi="Century Gothic" w:cs="Arial"/>
          <w:sz w:val="18"/>
          <w:szCs w:val="18"/>
        </w:rPr>
        <w:t xml:space="preserve">This contract will be evaluated on the 80 (price) </w:t>
      </w:r>
    </w:p>
    <w:p w14:paraId="3C353C73"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 xml:space="preserve">The specific goals would be for a maximum of 20 points. To claim for specific goals prospective bidders MUST submit proof/required </w:t>
      </w:r>
      <w:bookmarkStart w:id="4" w:name="_Hlk80792613"/>
      <w:bookmarkStart w:id="5" w:name="_Hlk124330816"/>
      <w:r w:rsidRPr="00D70027">
        <w:rPr>
          <w:rFonts w:ascii="Century Gothic" w:hAnsi="Century Gothic" w:cs="Arial"/>
          <w:sz w:val="18"/>
          <w:szCs w:val="18"/>
        </w:rPr>
        <w:t>documents.</w:t>
      </w:r>
    </w:p>
    <w:bookmarkEnd w:id="4"/>
    <w:p w14:paraId="615CD1BB" w14:textId="77777777" w:rsidR="00CA17D1" w:rsidRPr="00D70027" w:rsidRDefault="00CA17D1" w:rsidP="00CA17D1">
      <w:pPr>
        <w:pStyle w:val="ListParagraph"/>
        <w:numPr>
          <w:ilvl w:val="0"/>
          <w:numId w:val="2"/>
        </w:numPr>
        <w:jc w:val="both"/>
        <w:rPr>
          <w:rFonts w:ascii="Century Gothic" w:hAnsi="Century Gothic" w:cs="Arial"/>
          <w:sz w:val="18"/>
          <w:szCs w:val="18"/>
        </w:rPr>
      </w:pPr>
      <w:r w:rsidRPr="00D70027">
        <w:rPr>
          <w:rFonts w:ascii="Century Gothic" w:hAnsi="Century Gothic" w:cs="Arial"/>
          <w:b/>
          <w:bCs/>
          <w:sz w:val="18"/>
          <w:szCs w:val="18"/>
        </w:rPr>
        <w:t>A minimum functional score of 60% will apply to this tender.</w:t>
      </w:r>
    </w:p>
    <w:bookmarkEnd w:id="5"/>
    <w:p w14:paraId="40E6D77D" w14:textId="77777777" w:rsidR="00CA17D1" w:rsidRPr="00D70027" w:rsidRDefault="00CA17D1" w:rsidP="00CA17D1">
      <w:pPr>
        <w:numPr>
          <w:ilvl w:val="0"/>
          <w:numId w:val="2"/>
        </w:numPr>
        <w:jc w:val="both"/>
        <w:rPr>
          <w:rFonts w:ascii="Century Gothic" w:hAnsi="Century Gothic" w:cs="Arial"/>
          <w:sz w:val="18"/>
          <w:szCs w:val="18"/>
        </w:rPr>
      </w:pPr>
      <w:r w:rsidRPr="00D70027">
        <w:rPr>
          <w:rFonts w:ascii="Century Gothic" w:hAnsi="Century Gothic" w:cs="Arial"/>
          <w:sz w:val="18"/>
          <w:szCs w:val="18"/>
        </w:rPr>
        <w:t xml:space="preserve">A valid Tax compliance Status pin must be submitted. </w:t>
      </w:r>
    </w:p>
    <w:p w14:paraId="72E5A71B"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A current certified Municipal (rates &amp; services) clearance certificate to be submitted.</w:t>
      </w:r>
    </w:p>
    <w:p w14:paraId="6F48A8B2"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 xml:space="preserve">A current BBBEE status level certificate of </w:t>
      </w:r>
      <w:proofErr w:type="gramStart"/>
      <w:r w:rsidRPr="00D70027">
        <w:rPr>
          <w:rFonts w:ascii="Century Gothic" w:hAnsi="Century Gothic" w:cs="Arial"/>
          <w:sz w:val="18"/>
          <w:szCs w:val="18"/>
        </w:rPr>
        <w:t>sworn affidavit</w:t>
      </w:r>
      <w:proofErr w:type="gramEnd"/>
      <w:r w:rsidRPr="00D70027">
        <w:rPr>
          <w:rFonts w:ascii="Century Gothic" w:hAnsi="Century Gothic" w:cs="Arial"/>
          <w:sz w:val="18"/>
          <w:szCs w:val="18"/>
        </w:rPr>
        <w:t xml:space="preserve"> to be submitted.</w:t>
      </w:r>
    </w:p>
    <w:p w14:paraId="517CB876"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The National Treasury Central Supplier Database Summary report must be submitted.</w:t>
      </w:r>
    </w:p>
    <w:p w14:paraId="38BD7430"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The Council reserves the right to accept any tender and, or part thereof, appoint more than one contractor, and does not bind itself to accept the lowest or any tender. The Council reserves the right to appoint any contractor.</w:t>
      </w:r>
    </w:p>
    <w:p w14:paraId="571F2FCD"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The validity period for submission will be 90 days from the closing date.</w:t>
      </w:r>
    </w:p>
    <w:p w14:paraId="6279A78F" w14:textId="77777777" w:rsidR="00CA17D1" w:rsidRPr="00D70027" w:rsidRDefault="00CA17D1" w:rsidP="00CA17D1">
      <w:pPr>
        <w:pStyle w:val="ListParagraph"/>
        <w:numPr>
          <w:ilvl w:val="0"/>
          <w:numId w:val="2"/>
        </w:numPr>
        <w:spacing w:after="200"/>
        <w:jc w:val="both"/>
        <w:rPr>
          <w:rFonts w:ascii="Century Gothic" w:hAnsi="Century Gothic" w:cs="Arial"/>
          <w:sz w:val="18"/>
          <w:szCs w:val="18"/>
        </w:rPr>
      </w:pPr>
      <w:r w:rsidRPr="00D70027">
        <w:rPr>
          <w:rFonts w:ascii="Century Gothic" w:hAnsi="Century Gothic" w:cs="Arial"/>
          <w:sz w:val="18"/>
          <w:szCs w:val="18"/>
        </w:rPr>
        <w:t>Tenders that are deposited in the incorrect box or delivered to any other venue will not be considered</w:t>
      </w:r>
    </w:p>
    <w:p w14:paraId="701DFBDA" w14:textId="77777777" w:rsidR="00CA17D1" w:rsidRPr="00D70027" w:rsidRDefault="00CA17D1" w:rsidP="00CA17D1">
      <w:pPr>
        <w:spacing w:after="200"/>
        <w:ind w:left="720"/>
        <w:contextualSpacing/>
        <w:jc w:val="both"/>
        <w:rPr>
          <w:rFonts w:ascii="Century Gothic" w:hAnsi="Century Gothic" w:cs="Arial"/>
          <w:sz w:val="18"/>
          <w:szCs w:val="18"/>
        </w:rPr>
      </w:pPr>
      <w:r w:rsidRPr="00D70027">
        <w:rPr>
          <w:rFonts w:ascii="Century Gothic" w:hAnsi="Century Gothic" w:cs="Arial"/>
          <w:sz w:val="18"/>
          <w:szCs w:val="18"/>
        </w:rPr>
        <w:t>.</w:t>
      </w:r>
    </w:p>
    <w:p w14:paraId="4953D168" w14:textId="77777777" w:rsidR="00CA17D1" w:rsidRPr="00D70027" w:rsidRDefault="00CA17D1" w:rsidP="00CA17D1">
      <w:pPr>
        <w:jc w:val="both"/>
        <w:rPr>
          <w:rFonts w:ascii="Century Gothic" w:hAnsi="Century Gothic" w:cs="Arial"/>
          <w:sz w:val="18"/>
          <w:szCs w:val="18"/>
          <w:lang w:val="en-GB"/>
        </w:rPr>
      </w:pPr>
      <w:r w:rsidRPr="00D70027">
        <w:rPr>
          <w:rFonts w:ascii="Century Gothic" w:hAnsi="Century Gothic" w:cs="Arial"/>
          <w:sz w:val="18"/>
          <w:szCs w:val="18"/>
          <w:lang w:val="en-GB"/>
        </w:rPr>
        <w:t xml:space="preserve">Any inquiries relating to this tender must be submitted in writing via e-mail to </w:t>
      </w:r>
      <w:hyperlink r:id="rId7" w:history="1">
        <w:r w:rsidRPr="00D70027">
          <w:rPr>
            <w:rStyle w:val="Hyperlink"/>
            <w:rFonts w:ascii="Century Gothic" w:eastAsiaTheme="majorEastAsia" w:hAnsi="Century Gothic" w:cs="Arial"/>
            <w:sz w:val="18"/>
            <w:szCs w:val="18"/>
            <w:lang w:val="en-GB"/>
          </w:rPr>
          <w:t>koebergj@bnlm.gov.za</w:t>
        </w:r>
      </w:hyperlink>
      <w:r w:rsidRPr="00D70027">
        <w:rPr>
          <w:rFonts w:ascii="Century Gothic" w:hAnsi="Century Gothic" w:cs="Arial"/>
          <w:sz w:val="18"/>
          <w:szCs w:val="18"/>
          <w:lang w:val="en-GB"/>
        </w:rPr>
        <w:t xml:space="preserve"> </w:t>
      </w:r>
      <w:hyperlink r:id="rId8" w:history="1"/>
      <w:r w:rsidRPr="00D70027">
        <w:rPr>
          <w:rFonts w:ascii="Century Gothic" w:hAnsi="Century Gothic" w:cs="Arial"/>
          <w:sz w:val="18"/>
          <w:szCs w:val="18"/>
          <w:lang w:val="en-GB"/>
        </w:rPr>
        <w:t xml:space="preserve"> and copied to </w:t>
      </w:r>
      <w:hyperlink r:id="rId9" w:history="1">
        <w:r w:rsidRPr="00D70027">
          <w:rPr>
            <w:rStyle w:val="Hyperlink"/>
            <w:rFonts w:eastAsiaTheme="majorEastAsia"/>
          </w:rPr>
          <w:t>fouries@bnlm.gov.za</w:t>
        </w:r>
      </w:hyperlink>
      <w:r w:rsidRPr="00D70027">
        <w:t xml:space="preserve">. </w:t>
      </w:r>
    </w:p>
    <w:p w14:paraId="2F955C52" w14:textId="77777777" w:rsidR="00CA17D1" w:rsidRPr="00D70027" w:rsidRDefault="00CA17D1" w:rsidP="00CA17D1">
      <w:pPr>
        <w:jc w:val="both"/>
        <w:rPr>
          <w:rFonts w:ascii="Century Gothic" w:hAnsi="Century Gothic" w:cs="Arial"/>
          <w:sz w:val="18"/>
          <w:szCs w:val="18"/>
        </w:rPr>
      </w:pPr>
    </w:p>
    <w:p w14:paraId="100391F4" w14:textId="679E747B" w:rsidR="00CA17D1" w:rsidRPr="00D70027" w:rsidRDefault="00CA17D1" w:rsidP="00CA17D1">
      <w:pPr>
        <w:jc w:val="both"/>
        <w:rPr>
          <w:rFonts w:ascii="Century Gothic" w:hAnsi="Century Gothic" w:cs="Arial"/>
          <w:b/>
          <w:bCs/>
          <w:sz w:val="18"/>
          <w:szCs w:val="18"/>
          <w:u w:val="single"/>
        </w:rPr>
      </w:pPr>
      <w:r w:rsidRPr="00D70027">
        <w:rPr>
          <w:rFonts w:ascii="Century Gothic" w:hAnsi="Century Gothic" w:cs="Arial"/>
          <w:sz w:val="18"/>
          <w:szCs w:val="18"/>
        </w:rPr>
        <w:t>Completed documents in a sealed envelope endorsed “</w:t>
      </w:r>
      <w:r w:rsidRPr="00D70027">
        <w:rPr>
          <w:rFonts w:ascii="Century Gothic" w:hAnsi="Century Gothic" w:cs="Arial"/>
          <w:b/>
          <w:sz w:val="18"/>
          <w:szCs w:val="18"/>
          <w:u w:val="single"/>
        </w:rPr>
        <w:t xml:space="preserve">NOTICE NO: 201/2024: “APPOINTMENT OF </w:t>
      </w:r>
      <w:proofErr w:type="gramStart"/>
      <w:r w:rsidRPr="00D70027">
        <w:rPr>
          <w:rFonts w:ascii="Century Gothic" w:hAnsi="Century Gothic" w:cs="Arial"/>
          <w:b/>
          <w:sz w:val="18"/>
          <w:szCs w:val="18"/>
          <w:u w:val="single"/>
        </w:rPr>
        <w:t>CONSULTANTS  FOR</w:t>
      </w:r>
      <w:proofErr w:type="gramEnd"/>
      <w:r w:rsidRPr="00D70027">
        <w:rPr>
          <w:rFonts w:ascii="Century Gothic" w:hAnsi="Century Gothic" w:cs="Arial"/>
          <w:b/>
          <w:sz w:val="18"/>
          <w:szCs w:val="18"/>
          <w:u w:val="single"/>
        </w:rPr>
        <w:t xml:space="preserve"> VARIOUS ENGINEERING AND GROUNDWATER PROJECTS FOR A PERIOD OF THREE YEARS IN THE DR BEYERS NAUDE  MUNICIPAL AREA</w:t>
      </w:r>
      <w:r w:rsidRPr="00D70027">
        <w:rPr>
          <w:rFonts w:ascii="Century Gothic" w:hAnsi="Century Gothic" w:cs="Arial"/>
          <w:b/>
          <w:sz w:val="18"/>
          <w:szCs w:val="18"/>
        </w:rPr>
        <w:t>”</w:t>
      </w:r>
      <w:r w:rsidRPr="00D70027">
        <w:rPr>
          <w:rFonts w:ascii="Century Gothic" w:hAnsi="Century Gothic" w:cs="Arial"/>
          <w:sz w:val="18"/>
          <w:szCs w:val="18"/>
        </w:rPr>
        <w:t xml:space="preserve">, must be placed in the </w:t>
      </w:r>
      <w:r w:rsidRPr="00D70027">
        <w:rPr>
          <w:rFonts w:ascii="Arial" w:hAnsi="Arial" w:cs="Arial"/>
          <w:sz w:val="18"/>
          <w:szCs w:val="18"/>
          <w:lang w:val="en-ZA"/>
        </w:rPr>
        <w:t xml:space="preserve">Tender Box, Robert Sobukwe Building, </w:t>
      </w:r>
      <w:proofErr w:type="spellStart"/>
      <w:r w:rsidRPr="00D70027">
        <w:rPr>
          <w:rFonts w:ascii="Arial" w:hAnsi="Arial" w:cs="Arial"/>
          <w:sz w:val="18"/>
          <w:szCs w:val="18"/>
          <w:lang w:val="en-ZA"/>
        </w:rPr>
        <w:t>cnr</w:t>
      </w:r>
      <w:proofErr w:type="spellEnd"/>
      <w:r w:rsidRPr="00D70027">
        <w:rPr>
          <w:rFonts w:ascii="Arial" w:hAnsi="Arial" w:cs="Arial"/>
          <w:sz w:val="18"/>
          <w:szCs w:val="18"/>
          <w:lang w:val="en-ZA"/>
        </w:rPr>
        <w:t xml:space="preserve"> of Church Street &amp; Oval Drive, Graaff-Reinet</w:t>
      </w:r>
      <w:r w:rsidRPr="00D70027">
        <w:rPr>
          <w:rFonts w:ascii="Century Gothic" w:hAnsi="Century Gothic" w:cs="Arial"/>
          <w:sz w:val="18"/>
          <w:szCs w:val="18"/>
        </w:rPr>
        <w:t xml:space="preserve"> on or before </w:t>
      </w:r>
      <w:r w:rsidR="00C6316A">
        <w:rPr>
          <w:rFonts w:ascii="Century Gothic" w:hAnsi="Century Gothic" w:cs="Arial"/>
          <w:b/>
          <w:sz w:val="18"/>
          <w:szCs w:val="18"/>
          <w:u w:val="single"/>
        </w:rPr>
        <w:t>Tuesday</w:t>
      </w:r>
      <w:r w:rsidRPr="00D70027">
        <w:rPr>
          <w:rFonts w:ascii="Century Gothic" w:hAnsi="Century Gothic" w:cs="Arial"/>
          <w:b/>
          <w:sz w:val="18"/>
          <w:szCs w:val="18"/>
          <w:u w:val="single"/>
        </w:rPr>
        <w:t>, 29 OCTOBER 2024 at 12:00.</w:t>
      </w:r>
    </w:p>
    <w:p w14:paraId="74030126" w14:textId="77777777" w:rsidR="00CA17D1" w:rsidRDefault="00CA17D1" w:rsidP="00CA17D1">
      <w:pPr>
        <w:jc w:val="both"/>
        <w:rPr>
          <w:rFonts w:ascii="Century Gothic" w:hAnsi="Century Gothic" w:cs="Arial"/>
          <w:b/>
          <w:bCs/>
          <w:sz w:val="18"/>
          <w:szCs w:val="18"/>
          <w:u w:val="single"/>
        </w:rPr>
      </w:pPr>
    </w:p>
    <w:p w14:paraId="2A730004" w14:textId="77777777" w:rsidR="00B44B13" w:rsidRPr="00A22168" w:rsidRDefault="00B44B13" w:rsidP="00B44B13">
      <w:pPr>
        <w:tabs>
          <w:tab w:val="left" w:pos="540"/>
          <w:tab w:val="left" w:pos="4680"/>
        </w:tabs>
        <w:ind w:left="540" w:hanging="540"/>
        <w:rPr>
          <w:rFonts w:cs="Arial"/>
          <w:b/>
          <w:sz w:val="18"/>
          <w:szCs w:val="18"/>
          <w:lang w:val="en-ZA"/>
        </w:rPr>
      </w:pPr>
      <w:r w:rsidRPr="00A22168">
        <w:rPr>
          <w:rFonts w:cs="Arial"/>
          <w:b/>
          <w:sz w:val="18"/>
          <w:szCs w:val="18"/>
          <w:lang w:val="en-ZA"/>
        </w:rPr>
        <w:t>NB:</w:t>
      </w:r>
      <w:r w:rsidRPr="00A22168">
        <w:rPr>
          <w:rFonts w:cs="Arial"/>
          <w:b/>
          <w:sz w:val="18"/>
          <w:szCs w:val="18"/>
          <w:lang w:val="en-ZA"/>
        </w:rPr>
        <w:tab/>
        <w:t>NO BIDS WILL BE CONSIDERED FROM PERSONS IN THE SERVICE OF THE STATE, PROVINCIAL GOVERNMENT OR MUNICIPALITY.</w:t>
      </w:r>
    </w:p>
    <w:p w14:paraId="18D461C3" w14:textId="77777777" w:rsidR="00B44B13" w:rsidRDefault="00B44B13" w:rsidP="00B44B13">
      <w:pPr>
        <w:autoSpaceDE w:val="0"/>
        <w:autoSpaceDN w:val="0"/>
        <w:adjustRightInd w:val="0"/>
        <w:rPr>
          <w:b/>
          <w:bCs/>
          <w:color w:val="000000"/>
          <w:sz w:val="18"/>
          <w:szCs w:val="18"/>
        </w:rPr>
      </w:pPr>
    </w:p>
    <w:p w14:paraId="26B7342F" w14:textId="77777777" w:rsidR="00B44B13" w:rsidRDefault="00B44B13" w:rsidP="00B44B13">
      <w:pPr>
        <w:autoSpaceDE w:val="0"/>
        <w:autoSpaceDN w:val="0"/>
        <w:adjustRightInd w:val="0"/>
        <w:rPr>
          <w:b/>
          <w:bCs/>
          <w:color w:val="000000"/>
          <w:sz w:val="18"/>
          <w:szCs w:val="18"/>
        </w:rPr>
      </w:pPr>
    </w:p>
    <w:p w14:paraId="2D036F2E" w14:textId="77777777" w:rsidR="00B44B13" w:rsidRDefault="00B44B13" w:rsidP="00B44B13">
      <w:pPr>
        <w:autoSpaceDE w:val="0"/>
        <w:autoSpaceDN w:val="0"/>
        <w:adjustRightInd w:val="0"/>
        <w:rPr>
          <w:b/>
          <w:bCs/>
          <w:color w:val="000000"/>
          <w:sz w:val="18"/>
          <w:szCs w:val="18"/>
        </w:rPr>
      </w:pPr>
    </w:p>
    <w:p w14:paraId="4FE52381" w14:textId="77777777" w:rsidR="00B44B13" w:rsidRPr="00A22168" w:rsidRDefault="00B44B13" w:rsidP="00B44B13">
      <w:pPr>
        <w:autoSpaceDE w:val="0"/>
        <w:autoSpaceDN w:val="0"/>
        <w:adjustRightInd w:val="0"/>
        <w:rPr>
          <w:b/>
          <w:bCs/>
          <w:color w:val="000000"/>
          <w:sz w:val="18"/>
          <w:szCs w:val="18"/>
        </w:rPr>
      </w:pPr>
    </w:p>
    <w:p w14:paraId="5D59A758" w14:textId="77777777" w:rsidR="00B44B13" w:rsidRDefault="00B44B13" w:rsidP="00B44B13">
      <w:pPr>
        <w:autoSpaceDE w:val="0"/>
        <w:autoSpaceDN w:val="0"/>
        <w:adjustRightInd w:val="0"/>
        <w:rPr>
          <w:b/>
          <w:bCs/>
          <w:color w:val="000000"/>
          <w:sz w:val="18"/>
          <w:szCs w:val="18"/>
        </w:rPr>
      </w:pPr>
      <w:bookmarkStart w:id="6" w:name="_Hlk139615340"/>
      <w:r>
        <w:rPr>
          <w:b/>
          <w:bCs/>
          <w:color w:val="000000"/>
          <w:sz w:val="18"/>
          <w:szCs w:val="18"/>
        </w:rPr>
        <w:lastRenderedPageBreak/>
        <w:t>Allocation of specific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076"/>
        <w:gridCol w:w="1949"/>
        <w:gridCol w:w="4464"/>
      </w:tblGrid>
      <w:tr w:rsidR="00B44B13" w:rsidRPr="00FD549C" w14:paraId="7F1DB78C" w14:textId="77777777" w:rsidTr="00EF7BB4">
        <w:tc>
          <w:tcPr>
            <w:tcW w:w="534" w:type="dxa"/>
            <w:shd w:val="clear" w:color="auto" w:fill="auto"/>
          </w:tcPr>
          <w:p w14:paraId="5375C49E"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NO</w:t>
            </w:r>
          </w:p>
        </w:tc>
        <w:tc>
          <w:tcPr>
            <w:tcW w:w="2268" w:type="dxa"/>
            <w:shd w:val="clear" w:color="auto" w:fill="auto"/>
          </w:tcPr>
          <w:p w14:paraId="6804BF95"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Specific goal categories</w:t>
            </w:r>
          </w:p>
        </w:tc>
        <w:tc>
          <w:tcPr>
            <w:tcW w:w="2126" w:type="dxa"/>
            <w:shd w:val="clear" w:color="auto" w:fill="auto"/>
          </w:tcPr>
          <w:p w14:paraId="19369D55"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Max Points Allocation</w:t>
            </w:r>
          </w:p>
        </w:tc>
        <w:tc>
          <w:tcPr>
            <w:tcW w:w="5088" w:type="dxa"/>
            <w:shd w:val="clear" w:color="auto" w:fill="auto"/>
          </w:tcPr>
          <w:p w14:paraId="5F3E966D"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Evaluation Indicators</w:t>
            </w:r>
          </w:p>
        </w:tc>
      </w:tr>
      <w:tr w:rsidR="00B44B13" w:rsidRPr="00FD549C" w14:paraId="5A8D5E57" w14:textId="77777777" w:rsidTr="00EF7BB4">
        <w:tc>
          <w:tcPr>
            <w:tcW w:w="534" w:type="dxa"/>
            <w:shd w:val="clear" w:color="auto" w:fill="auto"/>
          </w:tcPr>
          <w:p w14:paraId="321781E7" w14:textId="77777777" w:rsidR="00B44B13" w:rsidRPr="00FD549C" w:rsidRDefault="00B44B13" w:rsidP="00EF7BB4">
            <w:pPr>
              <w:autoSpaceDE w:val="0"/>
              <w:autoSpaceDN w:val="0"/>
              <w:adjustRightInd w:val="0"/>
              <w:rPr>
                <w:b/>
                <w:bCs/>
                <w:color w:val="000000"/>
                <w:sz w:val="18"/>
                <w:szCs w:val="18"/>
              </w:rPr>
            </w:pPr>
          </w:p>
        </w:tc>
        <w:tc>
          <w:tcPr>
            <w:tcW w:w="2268" w:type="dxa"/>
            <w:shd w:val="clear" w:color="auto" w:fill="auto"/>
          </w:tcPr>
          <w:p w14:paraId="4ADF4120" w14:textId="77777777" w:rsidR="00B44B13" w:rsidRPr="00FD549C" w:rsidRDefault="00B44B13" w:rsidP="00EF7BB4">
            <w:pPr>
              <w:autoSpaceDE w:val="0"/>
              <w:autoSpaceDN w:val="0"/>
              <w:adjustRightInd w:val="0"/>
              <w:rPr>
                <w:bCs/>
                <w:color w:val="000000"/>
                <w:sz w:val="18"/>
                <w:szCs w:val="18"/>
              </w:rPr>
            </w:pPr>
          </w:p>
        </w:tc>
        <w:tc>
          <w:tcPr>
            <w:tcW w:w="2126" w:type="dxa"/>
            <w:shd w:val="clear" w:color="auto" w:fill="auto"/>
          </w:tcPr>
          <w:p w14:paraId="71D24A07" w14:textId="77777777" w:rsidR="00B44B13" w:rsidRPr="00FD549C" w:rsidRDefault="00B44B13" w:rsidP="00EF7BB4">
            <w:pPr>
              <w:autoSpaceDE w:val="0"/>
              <w:autoSpaceDN w:val="0"/>
              <w:adjustRightInd w:val="0"/>
              <w:rPr>
                <w:b/>
                <w:bCs/>
                <w:color w:val="000000"/>
                <w:sz w:val="18"/>
                <w:szCs w:val="18"/>
              </w:rPr>
            </w:pPr>
          </w:p>
        </w:tc>
        <w:tc>
          <w:tcPr>
            <w:tcW w:w="5088" w:type="dxa"/>
            <w:shd w:val="clear" w:color="auto" w:fill="auto"/>
          </w:tcPr>
          <w:p w14:paraId="2B6EF3D8" w14:textId="77777777" w:rsidR="00B44B13" w:rsidRPr="00FD549C" w:rsidRDefault="00B44B13" w:rsidP="00EF7BB4">
            <w:pPr>
              <w:autoSpaceDE w:val="0"/>
              <w:autoSpaceDN w:val="0"/>
              <w:adjustRightInd w:val="0"/>
              <w:rPr>
                <w:sz w:val="18"/>
                <w:szCs w:val="18"/>
              </w:rPr>
            </w:pPr>
          </w:p>
        </w:tc>
      </w:tr>
      <w:tr w:rsidR="00B44B13" w:rsidRPr="00FD549C" w14:paraId="0AC1B335" w14:textId="77777777" w:rsidTr="00EF7BB4">
        <w:tc>
          <w:tcPr>
            <w:tcW w:w="534" w:type="dxa"/>
            <w:shd w:val="clear" w:color="auto" w:fill="auto"/>
          </w:tcPr>
          <w:p w14:paraId="7C690445"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1</w:t>
            </w:r>
          </w:p>
        </w:tc>
        <w:tc>
          <w:tcPr>
            <w:tcW w:w="2268" w:type="dxa"/>
            <w:shd w:val="clear" w:color="auto" w:fill="auto"/>
          </w:tcPr>
          <w:p w14:paraId="63D5D502" w14:textId="77777777" w:rsidR="00B44B13" w:rsidRPr="00FD549C" w:rsidRDefault="00B44B13" w:rsidP="00EF7BB4">
            <w:pPr>
              <w:autoSpaceDE w:val="0"/>
              <w:autoSpaceDN w:val="0"/>
              <w:adjustRightInd w:val="0"/>
              <w:rPr>
                <w:bCs/>
                <w:color w:val="000000"/>
                <w:sz w:val="18"/>
                <w:szCs w:val="18"/>
              </w:rPr>
            </w:pPr>
            <w:r w:rsidRPr="00FD549C">
              <w:rPr>
                <w:bCs/>
                <w:color w:val="000000"/>
                <w:sz w:val="18"/>
                <w:szCs w:val="18"/>
              </w:rPr>
              <w:t xml:space="preserve">B-BBEE Status Level </w:t>
            </w:r>
          </w:p>
          <w:p w14:paraId="1D599701" w14:textId="77777777" w:rsidR="00B44B13" w:rsidRPr="00FD549C" w:rsidRDefault="00B44B13" w:rsidP="00EF7BB4">
            <w:pPr>
              <w:autoSpaceDE w:val="0"/>
              <w:autoSpaceDN w:val="0"/>
              <w:adjustRightInd w:val="0"/>
              <w:rPr>
                <w:b/>
                <w:bCs/>
                <w:color w:val="000000"/>
                <w:sz w:val="18"/>
                <w:szCs w:val="18"/>
              </w:rPr>
            </w:pPr>
            <w:r w:rsidRPr="00FD549C">
              <w:rPr>
                <w:bCs/>
                <w:color w:val="000000"/>
                <w:sz w:val="18"/>
                <w:szCs w:val="18"/>
              </w:rPr>
              <w:t>Contributor</w:t>
            </w:r>
          </w:p>
        </w:tc>
        <w:tc>
          <w:tcPr>
            <w:tcW w:w="2126" w:type="dxa"/>
            <w:shd w:val="clear" w:color="auto" w:fill="auto"/>
          </w:tcPr>
          <w:p w14:paraId="1102BCB6"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10</w:t>
            </w:r>
          </w:p>
        </w:tc>
        <w:tc>
          <w:tcPr>
            <w:tcW w:w="5088" w:type="dxa"/>
            <w:shd w:val="clear" w:color="auto" w:fill="auto"/>
          </w:tcPr>
          <w:p w14:paraId="310E4033" w14:textId="77777777" w:rsidR="00B44B13" w:rsidRPr="00FD549C" w:rsidRDefault="00B44B13" w:rsidP="00EF7BB4">
            <w:pPr>
              <w:autoSpaceDE w:val="0"/>
              <w:autoSpaceDN w:val="0"/>
              <w:adjustRightInd w:val="0"/>
              <w:rPr>
                <w:b/>
                <w:bCs/>
                <w:color w:val="000000"/>
                <w:sz w:val="18"/>
                <w:szCs w:val="18"/>
              </w:rPr>
            </w:pPr>
            <w:r w:rsidRPr="00FD549C">
              <w:rPr>
                <w:sz w:val="18"/>
                <w:szCs w:val="18"/>
              </w:rPr>
              <w:t>As for BBBEE points allocation please see MBD 6.1</w:t>
            </w:r>
          </w:p>
        </w:tc>
      </w:tr>
      <w:tr w:rsidR="00B44B13" w:rsidRPr="00FD549C" w14:paraId="38E5546F" w14:textId="77777777" w:rsidTr="00EF7BB4">
        <w:trPr>
          <w:trHeight w:val="405"/>
        </w:trPr>
        <w:tc>
          <w:tcPr>
            <w:tcW w:w="534" w:type="dxa"/>
            <w:vMerge w:val="restart"/>
            <w:shd w:val="clear" w:color="auto" w:fill="auto"/>
          </w:tcPr>
          <w:p w14:paraId="4404A117"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2</w:t>
            </w:r>
          </w:p>
        </w:tc>
        <w:tc>
          <w:tcPr>
            <w:tcW w:w="2268" w:type="dxa"/>
            <w:vMerge w:val="restart"/>
            <w:shd w:val="clear" w:color="auto" w:fill="auto"/>
          </w:tcPr>
          <w:p w14:paraId="00A4C8F9" w14:textId="77777777" w:rsidR="00B44B13" w:rsidRPr="00FD549C" w:rsidRDefault="00B44B13" w:rsidP="00EF7BB4">
            <w:pPr>
              <w:autoSpaceDE w:val="0"/>
              <w:autoSpaceDN w:val="0"/>
              <w:adjustRightInd w:val="0"/>
              <w:rPr>
                <w:b/>
                <w:bCs/>
                <w:color w:val="000000"/>
                <w:sz w:val="18"/>
                <w:szCs w:val="18"/>
              </w:rPr>
            </w:pPr>
            <w:r w:rsidRPr="00FD549C">
              <w:rPr>
                <w:sz w:val="18"/>
                <w:szCs w:val="18"/>
              </w:rPr>
              <w:t>The promotion of enterprises located in a specific province for work to be done or services to be rendered in that province.</w:t>
            </w:r>
          </w:p>
        </w:tc>
        <w:tc>
          <w:tcPr>
            <w:tcW w:w="2126" w:type="dxa"/>
            <w:vMerge w:val="restart"/>
            <w:shd w:val="clear" w:color="auto" w:fill="auto"/>
          </w:tcPr>
          <w:p w14:paraId="4CBEB539" w14:textId="77777777" w:rsidR="00B44B13" w:rsidRPr="00FD549C" w:rsidRDefault="00B44B13" w:rsidP="00EF7BB4">
            <w:pPr>
              <w:autoSpaceDE w:val="0"/>
              <w:autoSpaceDN w:val="0"/>
              <w:adjustRightInd w:val="0"/>
              <w:rPr>
                <w:b/>
                <w:bCs/>
                <w:color w:val="000000"/>
                <w:sz w:val="18"/>
                <w:szCs w:val="18"/>
              </w:rPr>
            </w:pPr>
            <w:r w:rsidRPr="00FD549C">
              <w:rPr>
                <w:b/>
                <w:bCs/>
                <w:color w:val="000000"/>
                <w:sz w:val="18"/>
                <w:szCs w:val="18"/>
              </w:rPr>
              <w:t>10</w:t>
            </w:r>
          </w:p>
        </w:tc>
        <w:tc>
          <w:tcPr>
            <w:tcW w:w="5088" w:type="dxa"/>
            <w:shd w:val="clear" w:color="auto" w:fill="auto"/>
          </w:tcPr>
          <w:p w14:paraId="4B3B3176" w14:textId="77777777" w:rsidR="00B44B13" w:rsidRPr="00FD549C" w:rsidRDefault="00B44B13" w:rsidP="00EF7BB4">
            <w:pPr>
              <w:autoSpaceDE w:val="0"/>
              <w:autoSpaceDN w:val="0"/>
              <w:adjustRightInd w:val="0"/>
              <w:rPr>
                <w:b/>
                <w:bCs/>
                <w:color w:val="000000"/>
                <w:sz w:val="18"/>
                <w:szCs w:val="18"/>
              </w:rPr>
            </w:pPr>
            <w:r w:rsidRPr="00FD549C">
              <w:rPr>
                <w:sz w:val="18"/>
                <w:szCs w:val="18"/>
              </w:rPr>
              <w:t>10 Points- Located within the boundaries of the Dr Beyers Naudé Local Municipality</w:t>
            </w:r>
          </w:p>
        </w:tc>
      </w:tr>
      <w:tr w:rsidR="00B44B13" w:rsidRPr="00FD549C" w14:paraId="5BDBA808" w14:textId="77777777" w:rsidTr="00EF7BB4">
        <w:trPr>
          <w:trHeight w:val="531"/>
        </w:trPr>
        <w:tc>
          <w:tcPr>
            <w:tcW w:w="534" w:type="dxa"/>
            <w:vMerge/>
            <w:shd w:val="clear" w:color="auto" w:fill="auto"/>
          </w:tcPr>
          <w:p w14:paraId="50E4F4A0" w14:textId="77777777" w:rsidR="00B44B13" w:rsidRPr="00FD549C" w:rsidRDefault="00B44B13" w:rsidP="00EF7BB4">
            <w:pPr>
              <w:autoSpaceDE w:val="0"/>
              <w:autoSpaceDN w:val="0"/>
              <w:adjustRightInd w:val="0"/>
              <w:rPr>
                <w:b/>
                <w:bCs/>
                <w:color w:val="000000"/>
                <w:sz w:val="18"/>
                <w:szCs w:val="18"/>
              </w:rPr>
            </w:pPr>
          </w:p>
        </w:tc>
        <w:tc>
          <w:tcPr>
            <w:tcW w:w="2268" w:type="dxa"/>
            <w:vMerge/>
            <w:shd w:val="clear" w:color="auto" w:fill="auto"/>
          </w:tcPr>
          <w:p w14:paraId="7A8970D8" w14:textId="77777777" w:rsidR="00B44B13" w:rsidRPr="00FD549C" w:rsidRDefault="00B44B13" w:rsidP="00EF7BB4">
            <w:pPr>
              <w:autoSpaceDE w:val="0"/>
              <w:autoSpaceDN w:val="0"/>
              <w:adjustRightInd w:val="0"/>
              <w:rPr>
                <w:sz w:val="18"/>
                <w:szCs w:val="18"/>
              </w:rPr>
            </w:pPr>
          </w:p>
        </w:tc>
        <w:tc>
          <w:tcPr>
            <w:tcW w:w="2126" w:type="dxa"/>
            <w:vMerge/>
            <w:shd w:val="clear" w:color="auto" w:fill="auto"/>
          </w:tcPr>
          <w:p w14:paraId="05BAFCB1" w14:textId="77777777" w:rsidR="00B44B13" w:rsidRPr="00FD549C" w:rsidRDefault="00B44B13" w:rsidP="00EF7BB4">
            <w:pPr>
              <w:autoSpaceDE w:val="0"/>
              <w:autoSpaceDN w:val="0"/>
              <w:adjustRightInd w:val="0"/>
              <w:rPr>
                <w:b/>
                <w:bCs/>
                <w:color w:val="000000"/>
                <w:sz w:val="18"/>
                <w:szCs w:val="18"/>
              </w:rPr>
            </w:pPr>
          </w:p>
        </w:tc>
        <w:tc>
          <w:tcPr>
            <w:tcW w:w="5088" w:type="dxa"/>
            <w:shd w:val="clear" w:color="auto" w:fill="auto"/>
          </w:tcPr>
          <w:p w14:paraId="717CCD44" w14:textId="77777777" w:rsidR="00B44B13" w:rsidRPr="00FD549C" w:rsidRDefault="00B44B13" w:rsidP="00EF7BB4">
            <w:pPr>
              <w:autoSpaceDE w:val="0"/>
              <w:autoSpaceDN w:val="0"/>
              <w:adjustRightInd w:val="0"/>
              <w:rPr>
                <w:b/>
                <w:bCs/>
                <w:color w:val="000000"/>
                <w:sz w:val="18"/>
                <w:szCs w:val="18"/>
              </w:rPr>
            </w:pPr>
            <w:r w:rsidRPr="00FD549C">
              <w:rPr>
                <w:sz w:val="18"/>
                <w:szCs w:val="18"/>
              </w:rPr>
              <w:t>6 Points- Located within the boundaries of Sarah Baartman District Municipality</w:t>
            </w:r>
          </w:p>
        </w:tc>
      </w:tr>
      <w:tr w:rsidR="00B44B13" w:rsidRPr="00FD549C" w14:paraId="1773C6DE" w14:textId="77777777" w:rsidTr="00EF7BB4">
        <w:trPr>
          <w:trHeight w:val="510"/>
        </w:trPr>
        <w:tc>
          <w:tcPr>
            <w:tcW w:w="534" w:type="dxa"/>
            <w:vMerge/>
            <w:shd w:val="clear" w:color="auto" w:fill="auto"/>
          </w:tcPr>
          <w:p w14:paraId="14CA1E57" w14:textId="77777777" w:rsidR="00B44B13" w:rsidRPr="00FD549C" w:rsidRDefault="00B44B13" w:rsidP="00EF7BB4">
            <w:pPr>
              <w:autoSpaceDE w:val="0"/>
              <w:autoSpaceDN w:val="0"/>
              <w:adjustRightInd w:val="0"/>
              <w:rPr>
                <w:b/>
                <w:bCs/>
                <w:color w:val="000000"/>
                <w:sz w:val="18"/>
                <w:szCs w:val="18"/>
              </w:rPr>
            </w:pPr>
          </w:p>
        </w:tc>
        <w:tc>
          <w:tcPr>
            <w:tcW w:w="2268" w:type="dxa"/>
            <w:vMerge/>
            <w:shd w:val="clear" w:color="auto" w:fill="auto"/>
          </w:tcPr>
          <w:p w14:paraId="28FAA482" w14:textId="77777777" w:rsidR="00B44B13" w:rsidRPr="00FD549C" w:rsidRDefault="00B44B13" w:rsidP="00EF7BB4">
            <w:pPr>
              <w:autoSpaceDE w:val="0"/>
              <w:autoSpaceDN w:val="0"/>
              <w:adjustRightInd w:val="0"/>
              <w:rPr>
                <w:sz w:val="18"/>
                <w:szCs w:val="18"/>
              </w:rPr>
            </w:pPr>
          </w:p>
        </w:tc>
        <w:tc>
          <w:tcPr>
            <w:tcW w:w="2126" w:type="dxa"/>
            <w:vMerge/>
            <w:shd w:val="clear" w:color="auto" w:fill="auto"/>
          </w:tcPr>
          <w:p w14:paraId="3285CBD8" w14:textId="77777777" w:rsidR="00B44B13" w:rsidRPr="00FD549C" w:rsidRDefault="00B44B13" w:rsidP="00EF7BB4">
            <w:pPr>
              <w:autoSpaceDE w:val="0"/>
              <w:autoSpaceDN w:val="0"/>
              <w:adjustRightInd w:val="0"/>
              <w:rPr>
                <w:b/>
                <w:bCs/>
                <w:color w:val="000000"/>
                <w:sz w:val="18"/>
                <w:szCs w:val="18"/>
              </w:rPr>
            </w:pPr>
          </w:p>
        </w:tc>
        <w:tc>
          <w:tcPr>
            <w:tcW w:w="5088" w:type="dxa"/>
            <w:shd w:val="clear" w:color="auto" w:fill="auto"/>
          </w:tcPr>
          <w:p w14:paraId="51E9F549" w14:textId="77777777" w:rsidR="00B44B13" w:rsidRPr="00FD549C" w:rsidRDefault="00B44B13" w:rsidP="00EF7BB4">
            <w:pPr>
              <w:autoSpaceDE w:val="0"/>
              <w:autoSpaceDN w:val="0"/>
              <w:adjustRightInd w:val="0"/>
              <w:rPr>
                <w:b/>
                <w:bCs/>
                <w:color w:val="000000"/>
                <w:sz w:val="18"/>
                <w:szCs w:val="18"/>
              </w:rPr>
            </w:pPr>
            <w:r w:rsidRPr="00FD549C">
              <w:rPr>
                <w:sz w:val="18"/>
                <w:szCs w:val="18"/>
              </w:rPr>
              <w:t>4 Points- Located within the boundaries of the Eastern Cape</w:t>
            </w:r>
          </w:p>
        </w:tc>
      </w:tr>
      <w:tr w:rsidR="00B44B13" w:rsidRPr="00FD549C" w14:paraId="39771ACA" w14:textId="77777777" w:rsidTr="00EF7BB4">
        <w:trPr>
          <w:trHeight w:val="585"/>
        </w:trPr>
        <w:tc>
          <w:tcPr>
            <w:tcW w:w="534" w:type="dxa"/>
            <w:vMerge/>
            <w:shd w:val="clear" w:color="auto" w:fill="auto"/>
          </w:tcPr>
          <w:p w14:paraId="4FA0E1DA" w14:textId="77777777" w:rsidR="00B44B13" w:rsidRPr="00FD549C" w:rsidRDefault="00B44B13" w:rsidP="00EF7BB4">
            <w:pPr>
              <w:autoSpaceDE w:val="0"/>
              <w:autoSpaceDN w:val="0"/>
              <w:adjustRightInd w:val="0"/>
              <w:rPr>
                <w:b/>
                <w:bCs/>
                <w:color w:val="000000"/>
                <w:sz w:val="18"/>
                <w:szCs w:val="18"/>
              </w:rPr>
            </w:pPr>
          </w:p>
        </w:tc>
        <w:tc>
          <w:tcPr>
            <w:tcW w:w="2268" w:type="dxa"/>
            <w:vMerge/>
            <w:shd w:val="clear" w:color="auto" w:fill="auto"/>
          </w:tcPr>
          <w:p w14:paraId="6A0552AB" w14:textId="77777777" w:rsidR="00B44B13" w:rsidRPr="00FD549C" w:rsidRDefault="00B44B13" w:rsidP="00EF7BB4">
            <w:pPr>
              <w:autoSpaceDE w:val="0"/>
              <w:autoSpaceDN w:val="0"/>
              <w:adjustRightInd w:val="0"/>
              <w:rPr>
                <w:sz w:val="18"/>
                <w:szCs w:val="18"/>
              </w:rPr>
            </w:pPr>
          </w:p>
        </w:tc>
        <w:tc>
          <w:tcPr>
            <w:tcW w:w="2126" w:type="dxa"/>
            <w:vMerge/>
            <w:shd w:val="clear" w:color="auto" w:fill="auto"/>
          </w:tcPr>
          <w:p w14:paraId="6941483B" w14:textId="77777777" w:rsidR="00B44B13" w:rsidRPr="00FD549C" w:rsidRDefault="00B44B13" w:rsidP="00EF7BB4">
            <w:pPr>
              <w:autoSpaceDE w:val="0"/>
              <w:autoSpaceDN w:val="0"/>
              <w:adjustRightInd w:val="0"/>
              <w:rPr>
                <w:b/>
                <w:bCs/>
                <w:color w:val="000000"/>
                <w:sz w:val="18"/>
                <w:szCs w:val="18"/>
              </w:rPr>
            </w:pPr>
          </w:p>
        </w:tc>
        <w:tc>
          <w:tcPr>
            <w:tcW w:w="5088" w:type="dxa"/>
            <w:shd w:val="clear" w:color="auto" w:fill="auto"/>
          </w:tcPr>
          <w:p w14:paraId="087CDEAC" w14:textId="77777777" w:rsidR="00B44B13" w:rsidRPr="00FD549C" w:rsidRDefault="00B44B13" w:rsidP="00EF7BB4">
            <w:pPr>
              <w:autoSpaceDE w:val="0"/>
              <w:autoSpaceDN w:val="0"/>
              <w:adjustRightInd w:val="0"/>
              <w:rPr>
                <w:b/>
                <w:bCs/>
                <w:color w:val="000000"/>
                <w:sz w:val="18"/>
                <w:szCs w:val="18"/>
              </w:rPr>
            </w:pPr>
            <w:r w:rsidRPr="00FD549C">
              <w:rPr>
                <w:sz w:val="18"/>
                <w:szCs w:val="18"/>
              </w:rPr>
              <w:t>1 Point- Outside of the boundaries of the Eastern Cape</w:t>
            </w:r>
          </w:p>
        </w:tc>
      </w:tr>
      <w:bookmarkEnd w:id="6"/>
    </w:tbl>
    <w:p w14:paraId="28DA7A85" w14:textId="77777777" w:rsidR="00B44B13" w:rsidRDefault="00B44B13" w:rsidP="00B44B13">
      <w:pPr>
        <w:autoSpaceDE w:val="0"/>
        <w:autoSpaceDN w:val="0"/>
        <w:adjustRightInd w:val="0"/>
        <w:rPr>
          <w:b/>
          <w:bCs/>
          <w:color w:val="000000"/>
          <w:sz w:val="18"/>
          <w:szCs w:val="18"/>
        </w:rPr>
      </w:pPr>
    </w:p>
    <w:p w14:paraId="64C9BD60" w14:textId="77777777" w:rsidR="00B44B13" w:rsidRPr="00D70027" w:rsidRDefault="00B44B13" w:rsidP="00CA17D1">
      <w:pPr>
        <w:jc w:val="both"/>
        <w:rPr>
          <w:rFonts w:ascii="Century Gothic" w:hAnsi="Century Gothic" w:cs="Arial"/>
          <w:b/>
          <w:bCs/>
          <w:sz w:val="18"/>
          <w:szCs w:val="18"/>
          <w:u w:val="single"/>
        </w:rPr>
      </w:pPr>
    </w:p>
    <w:p w14:paraId="325001E5" w14:textId="77777777" w:rsidR="00CA17D1" w:rsidRPr="00D70027" w:rsidRDefault="00CA17D1" w:rsidP="00CA17D1">
      <w:pPr>
        <w:pStyle w:val="PS"/>
        <w:tabs>
          <w:tab w:val="right" w:leader="dot" w:pos="9769"/>
        </w:tabs>
        <w:spacing w:after="0"/>
        <w:rPr>
          <w:rFonts w:ascii="Century Gothic" w:hAnsi="Century Gothic" w:cs="Arial"/>
          <w:b/>
          <w:sz w:val="18"/>
          <w:szCs w:val="18"/>
          <w:u w:val="single"/>
          <w:lang w:val="en-ZA"/>
        </w:rPr>
      </w:pPr>
    </w:p>
    <w:p w14:paraId="42658808" w14:textId="77777777" w:rsidR="00CA17D1" w:rsidRPr="00D70027" w:rsidRDefault="00CA17D1" w:rsidP="00CA17D1">
      <w:pPr>
        <w:pStyle w:val="Default"/>
        <w:rPr>
          <w:sz w:val="18"/>
          <w:szCs w:val="18"/>
        </w:rPr>
      </w:pPr>
      <w:r w:rsidRPr="00D70027">
        <w:rPr>
          <w:b/>
          <w:bCs/>
          <w:sz w:val="18"/>
          <w:szCs w:val="18"/>
        </w:rPr>
        <w:t xml:space="preserve">DR. E.M. RANKWANA </w:t>
      </w:r>
    </w:p>
    <w:p w14:paraId="4C206C94" w14:textId="77777777" w:rsidR="00CA17D1" w:rsidRPr="00D70027" w:rsidRDefault="00CA17D1" w:rsidP="00CA17D1">
      <w:pPr>
        <w:pStyle w:val="PS"/>
        <w:tabs>
          <w:tab w:val="right" w:leader="dot" w:pos="9769"/>
        </w:tabs>
        <w:spacing w:after="0"/>
        <w:rPr>
          <w:b/>
          <w:bCs/>
          <w:sz w:val="18"/>
          <w:szCs w:val="18"/>
        </w:rPr>
      </w:pPr>
      <w:r w:rsidRPr="00D70027">
        <w:rPr>
          <w:b/>
          <w:bCs/>
          <w:sz w:val="18"/>
          <w:szCs w:val="18"/>
        </w:rPr>
        <w:t xml:space="preserve">MUNICIPAL MANAGER </w:t>
      </w:r>
    </w:p>
    <w:p w14:paraId="12F24328" w14:textId="77777777" w:rsidR="00CA17D1" w:rsidRPr="00D70027" w:rsidRDefault="00CA17D1" w:rsidP="00CA17D1">
      <w:pPr>
        <w:pStyle w:val="PS"/>
        <w:tabs>
          <w:tab w:val="right" w:leader="dot" w:pos="9769"/>
        </w:tabs>
        <w:spacing w:after="0"/>
        <w:rPr>
          <w:b/>
          <w:bCs/>
          <w:sz w:val="18"/>
          <w:szCs w:val="18"/>
        </w:rPr>
      </w:pPr>
    </w:p>
    <w:bookmarkEnd w:id="0"/>
    <w:p w14:paraId="351D4526" w14:textId="77777777" w:rsidR="00437C52" w:rsidRPr="00CA17D1" w:rsidRDefault="00437C52">
      <w:pPr>
        <w:rPr>
          <w:lang w:val="en-GB"/>
        </w:rPr>
      </w:pPr>
    </w:p>
    <w:sectPr w:rsidR="00437C52" w:rsidRPr="00CA1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938F8"/>
    <w:multiLevelType w:val="hybridMultilevel"/>
    <w:tmpl w:val="69A45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9248113">
    <w:abstractNumId w:val="0"/>
  </w:num>
  <w:num w:numId="2" w16cid:durableId="20989384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D1"/>
    <w:rsid w:val="00437C52"/>
    <w:rsid w:val="00932C03"/>
    <w:rsid w:val="00B44B13"/>
    <w:rsid w:val="00C6316A"/>
    <w:rsid w:val="00C910A5"/>
    <w:rsid w:val="00CA17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2F43"/>
  <w15:chartTrackingRefBased/>
  <w15:docId w15:val="{39642BDF-EBCA-4FF7-A8CE-B9472F76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D1"/>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A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7D1"/>
    <w:rPr>
      <w:rFonts w:eastAsiaTheme="majorEastAsia" w:cstheme="majorBidi"/>
      <w:color w:val="272727" w:themeColor="text1" w:themeTint="D8"/>
    </w:rPr>
  </w:style>
  <w:style w:type="paragraph" w:styleId="Title">
    <w:name w:val="Title"/>
    <w:basedOn w:val="Normal"/>
    <w:next w:val="Normal"/>
    <w:link w:val="TitleChar"/>
    <w:uiPriority w:val="10"/>
    <w:qFormat/>
    <w:rsid w:val="00CA17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7D1"/>
    <w:pPr>
      <w:spacing w:before="160"/>
      <w:jc w:val="center"/>
    </w:pPr>
    <w:rPr>
      <w:i/>
      <w:iCs/>
      <w:color w:val="404040" w:themeColor="text1" w:themeTint="BF"/>
    </w:rPr>
  </w:style>
  <w:style w:type="character" w:customStyle="1" w:styleId="QuoteChar">
    <w:name w:val="Quote Char"/>
    <w:basedOn w:val="DefaultParagraphFont"/>
    <w:link w:val="Quote"/>
    <w:uiPriority w:val="29"/>
    <w:rsid w:val="00CA17D1"/>
    <w:rPr>
      <w:i/>
      <w:iCs/>
      <w:color w:val="404040" w:themeColor="text1" w:themeTint="BF"/>
    </w:rPr>
  </w:style>
  <w:style w:type="paragraph" w:styleId="ListParagraph">
    <w:name w:val="List Paragraph"/>
    <w:aliases w:val="Paragraph level 1"/>
    <w:basedOn w:val="Normal"/>
    <w:link w:val="ListParagraphChar"/>
    <w:uiPriority w:val="34"/>
    <w:qFormat/>
    <w:rsid w:val="00CA17D1"/>
    <w:pPr>
      <w:ind w:left="720"/>
      <w:contextualSpacing/>
    </w:pPr>
  </w:style>
  <w:style w:type="character" w:styleId="IntenseEmphasis">
    <w:name w:val="Intense Emphasis"/>
    <w:basedOn w:val="DefaultParagraphFont"/>
    <w:uiPriority w:val="21"/>
    <w:qFormat/>
    <w:rsid w:val="00CA17D1"/>
    <w:rPr>
      <w:i/>
      <w:iCs/>
      <w:color w:val="0F4761" w:themeColor="accent1" w:themeShade="BF"/>
    </w:rPr>
  </w:style>
  <w:style w:type="paragraph" w:styleId="IntenseQuote">
    <w:name w:val="Intense Quote"/>
    <w:basedOn w:val="Normal"/>
    <w:next w:val="Normal"/>
    <w:link w:val="IntenseQuoteChar"/>
    <w:uiPriority w:val="30"/>
    <w:qFormat/>
    <w:rsid w:val="00CA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7D1"/>
    <w:rPr>
      <w:i/>
      <w:iCs/>
      <w:color w:val="0F4761" w:themeColor="accent1" w:themeShade="BF"/>
    </w:rPr>
  </w:style>
  <w:style w:type="character" w:styleId="IntenseReference">
    <w:name w:val="Intense Reference"/>
    <w:basedOn w:val="DefaultParagraphFont"/>
    <w:uiPriority w:val="32"/>
    <w:qFormat/>
    <w:rsid w:val="00CA17D1"/>
    <w:rPr>
      <w:b/>
      <w:bCs/>
      <w:smallCaps/>
      <w:color w:val="0F4761" w:themeColor="accent1" w:themeShade="BF"/>
      <w:spacing w:val="5"/>
    </w:rPr>
  </w:style>
  <w:style w:type="character" w:styleId="Hyperlink">
    <w:name w:val="Hyperlink"/>
    <w:uiPriority w:val="99"/>
    <w:rsid w:val="00CA17D1"/>
    <w:rPr>
      <w:color w:val="0000FF"/>
      <w:u w:val="single"/>
    </w:rPr>
  </w:style>
  <w:style w:type="paragraph" w:styleId="NormalWeb">
    <w:name w:val="Normal (Web)"/>
    <w:basedOn w:val="Normal"/>
    <w:uiPriority w:val="99"/>
    <w:rsid w:val="00CA17D1"/>
    <w:pPr>
      <w:spacing w:before="100" w:beforeAutospacing="1" w:after="100" w:afterAutospacing="1"/>
    </w:pPr>
    <w:rPr>
      <w:rFonts w:ascii="Arial" w:hAnsi="Arial"/>
      <w:szCs w:val="24"/>
    </w:rPr>
  </w:style>
  <w:style w:type="paragraph" w:customStyle="1" w:styleId="PS">
    <w:name w:val="PS"/>
    <w:basedOn w:val="Normal"/>
    <w:link w:val="PSChar"/>
    <w:qFormat/>
    <w:rsid w:val="00CA17D1"/>
    <w:pPr>
      <w:tabs>
        <w:tab w:val="right" w:pos="9362"/>
      </w:tabs>
      <w:spacing w:after="240"/>
      <w:jc w:val="both"/>
    </w:pPr>
    <w:rPr>
      <w:rFonts w:ascii="Arial" w:hAnsi="Arial"/>
      <w:lang w:val="en-GB"/>
    </w:rPr>
  </w:style>
  <w:style w:type="paragraph" w:customStyle="1" w:styleId="Default">
    <w:name w:val="Default"/>
    <w:rsid w:val="00CA17D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Paragraph level 1 Char"/>
    <w:link w:val="ListParagraph"/>
    <w:uiPriority w:val="34"/>
    <w:locked/>
    <w:rsid w:val="00CA17D1"/>
  </w:style>
  <w:style w:type="character" w:customStyle="1" w:styleId="PSChar">
    <w:name w:val="PS Char"/>
    <w:link w:val="PS"/>
    <w:rsid w:val="00CA17D1"/>
    <w:rPr>
      <w:rFonts w:ascii="Arial" w:eastAsia="Times New Roman" w:hAnsi="Arial"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kouga.gov.za" TargetMode="External"/><Relationship Id="rId3" Type="http://schemas.openxmlformats.org/officeDocument/2006/relationships/settings" Target="settings.xml"/><Relationship Id="rId7" Type="http://schemas.openxmlformats.org/officeDocument/2006/relationships/hyperlink" Target="mailto:koebergj@bnl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ebergj@bnlm.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uries@bnl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2024-10-01T09:14:00Z</dcterms:created>
  <dcterms:modified xsi:type="dcterms:W3CDTF">2024-10-01T09:50:00Z</dcterms:modified>
</cp:coreProperties>
</file>